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E45CF" w14:textId="6343DEC1" w:rsidR="00851AE5" w:rsidRPr="00F253E3" w:rsidRDefault="00851AE5" w:rsidP="00851AE5">
      <w:pPr>
        <w:adjustRightInd w:val="0"/>
        <w:snapToGrid w:val="0"/>
        <w:spacing w:line="360" w:lineRule="auto"/>
        <w:rPr>
          <w:rFonts w:ascii="宋体" w:hAnsi="宋体"/>
          <w:sz w:val="24"/>
        </w:rPr>
      </w:pPr>
      <w:r w:rsidRPr="00F253E3">
        <w:rPr>
          <w:rFonts w:ascii="宋体" w:hAnsi="宋体" w:hint="eastAsia"/>
          <w:sz w:val="24"/>
        </w:rPr>
        <w:t>证券代码：603010</w:t>
      </w:r>
      <w:r w:rsidRPr="00F253E3">
        <w:rPr>
          <w:rFonts w:ascii="宋体" w:hAnsi="宋体"/>
          <w:sz w:val="24"/>
        </w:rPr>
        <w:t xml:space="preserve">         </w:t>
      </w:r>
      <w:r w:rsidRPr="00F253E3">
        <w:rPr>
          <w:rFonts w:ascii="宋体" w:hAnsi="宋体" w:hint="eastAsia"/>
          <w:sz w:val="24"/>
        </w:rPr>
        <w:t>证券简称：万盛股份</w:t>
      </w:r>
      <w:r w:rsidRPr="00F253E3">
        <w:rPr>
          <w:rFonts w:ascii="宋体" w:hAnsi="宋体"/>
          <w:sz w:val="24"/>
        </w:rPr>
        <w:t xml:space="preserve">        </w:t>
      </w:r>
      <w:r w:rsidRPr="00F253E3">
        <w:rPr>
          <w:rFonts w:ascii="宋体" w:hAnsi="宋体" w:hint="eastAsia"/>
          <w:sz w:val="24"/>
        </w:rPr>
        <w:t>公告编号：</w:t>
      </w:r>
      <w:r w:rsidR="004723A5" w:rsidRPr="00F253E3">
        <w:rPr>
          <w:rFonts w:ascii="宋体" w:hAnsi="宋体"/>
          <w:sz w:val="24"/>
        </w:rPr>
        <w:t>202</w:t>
      </w:r>
      <w:r w:rsidR="00440DA7" w:rsidRPr="00F253E3">
        <w:rPr>
          <w:rFonts w:ascii="宋体" w:hAnsi="宋体"/>
          <w:sz w:val="24"/>
        </w:rPr>
        <w:t>3</w:t>
      </w:r>
      <w:r w:rsidRPr="00F253E3">
        <w:rPr>
          <w:rFonts w:ascii="宋体" w:hAnsi="宋体"/>
          <w:sz w:val="24"/>
        </w:rPr>
        <w:t>-</w:t>
      </w:r>
      <w:r w:rsidR="008D5F84" w:rsidRPr="00F253E3">
        <w:rPr>
          <w:rFonts w:ascii="宋体" w:hAnsi="宋体" w:hint="eastAsia"/>
          <w:sz w:val="24"/>
        </w:rPr>
        <w:t>0</w:t>
      </w:r>
      <w:r w:rsidR="008D5F84" w:rsidRPr="00F253E3">
        <w:rPr>
          <w:rFonts w:ascii="宋体" w:hAnsi="宋体"/>
          <w:sz w:val="24"/>
        </w:rPr>
        <w:t>1</w:t>
      </w:r>
      <w:r w:rsidR="00F253E3" w:rsidRPr="00F253E3">
        <w:rPr>
          <w:rFonts w:ascii="宋体" w:hAnsi="宋体"/>
          <w:sz w:val="24"/>
        </w:rPr>
        <w:t>5</w:t>
      </w:r>
    </w:p>
    <w:p w14:paraId="0918F643" w14:textId="77777777" w:rsidR="00851AE5" w:rsidRPr="00F253E3" w:rsidRDefault="00851AE5" w:rsidP="00851AE5">
      <w:pPr>
        <w:adjustRightInd w:val="0"/>
        <w:snapToGrid w:val="0"/>
        <w:spacing w:line="360" w:lineRule="auto"/>
        <w:ind w:firstLineChars="200" w:firstLine="420"/>
        <w:jc w:val="left"/>
        <w:rPr>
          <w:rFonts w:ascii="宋体" w:hAnsi="宋体"/>
        </w:rPr>
      </w:pPr>
    </w:p>
    <w:p w14:paraId="1DAC1693" w14:textId="77777777" w:rsidR="00956CAE" w:rsidRPr="00F253E3" w:rsidRDefault="00956CAE" w:rsidP="00851AE5">
      <w:pPr>
        <w:adjustRightInd w:val="0"/>
        <w:snapToGrid w:val="0"/>
        <w:spacing w:line="360" w:lineRule="auto"/>
        <w:jc w:val="center"/>
        <w:rPr>
          <w:rFonts w:ascii="宋体" w:hAnsi="宋体"/>
          <w:b/>
          <w:bCs/>
          <w:color w:val="FF0000"/>
          <w:sz w:val="32"/>
          <w:szCs w:val="32"/>
        </w:rPr>
      </w:pPr>
      <w:r w:rsidRPr="00F253E3">
        <w:rPr>
          <w:rFonts w:ascii="宋体" w:hAnsi="宋体" w:hint="eastAsia"/>
          <w:b/>
          <w:bCs/>
          <w:color w:val="FF0000"/>
          <w:sz w:val="32"/>
          <w:szCs w:val="32"/>
        </w:rPr>
        <w:t>浙江万盛股份有限公司</w:t>
      </w:r>
    </w:p>
    <w:p w14:paraId="69687C7A" w14:textId="59A6E9F8" w:rsidR="00B65335" w:rsidRPr="00F253E3" w:rsidRDefault="00E2281C" w:rsidP="00B65335">
      <w:pPr>
        <w:adjustRightInd w:val="0"/>
        <w:snapToGrid w:val="0"/>
        <w:spacing w:line="360" w:lineRule="auto"/>
        <w:jc w:val="center"/>
        <w:rPr>
          <w:rFonts w:ascii="宋体" w:hAnsi="宋体"/>
          <w:b/>
          <w:bCs/>
          <w:color w:val="FF0000"/>
          <w:sz w:val="32"/>
          <w:szCs w:val="32"/>
        </w:rPr>
      </w:pPr>
      <w:r w:rsidRPr="00F253E3">
        <w:rPr>
          <w:rFonts w:ascii="宋体" w:hAnsi="宋体" w:hint="eastAsia"/>
          <w:b/>
          <w:bCs/>
          <w:color w:val="FF0000"/>
          <w:sz w:val="32"/>
          <w:szCs w:val="32"/>
        </w:rPr>
        <w:t>关于2023年度使用自有资金进行证券投资的</w:t>
      </w:r>
      <w:r w:rsidR="0091759E" w:rsidRPr="00F253E3">
        <w:rPr>
          <w:rFonts w:ascii="宋体" w:hAnsi="宋体" w:hint="eastAsia"/>
          <w:b/>
          <w:bCs/>
          <w:color w:val="FF0000"/>
          <w:sz w:val="32"/>
          <w:szCs w:val="32"/>
        </w:rPr>
        <w:t>公告</w:t>
      </w:r>
    </w:p>
    <w:p w14:paraId="612DBCA0" w14:textId="23369901" w:rsidR="00851AE5" w:rsidRPr="00F253E3" w:rsidRDefault="00440DA7" w:rsidP="00851AE5">
      <w:pPr>
        <w:pStyle w:val="a6"/>
        <w:spacing w:line="360" w:lineRule="auto"/>
        <w:ind w:firstLineChars="200" w:firstLine="480"/>
        <w:rPr>
          <w:rFonts w:ascii="宋体" w:hAnsi="宋体"/>
          <w:sz w:val="24"/>
          <w:szCs w:val="24"/>
        </w:rPr>
      </w:pPr>
      <w:r w:rsidRPr="00F253E3">
        <w:rPr>
          <w:rFonts w:ascii="宋体" w:hAnsi="宋体" w:hint="eastAsia"/>
          <w:sz w:val="24"/>
          <w:szCs w:val="24"/>
        </w:rPr>
        <w:t>本公司董事会及全体董事保证本公告内容不存在任何虚假记载、误导性陈述或者重大遗漏，并对其内容的真实性、准确性和完整性承担法律责任</w:t>
      </w:r>
      <w:r w:rsidR="00851AE5" w:rsidRPr="00F253E3">
        <w:rPr>
          <w:rFonts w:ascii="宋体" w:hAnsi="宋体" w:hint="eastAsia"/>
          <w:sz w:val="24"/>
          <w:szCs w:val="24"/>
        </w:rPr>
        <w:t>。</w:t>
      </w:r>
    </w:p>
    <w:p w14:paraId="32AA2091" w14:textId="77777777" w:rsidR="00851AE5" w:rsidRPr="00F253E3" w:rsidRDefault="00851AE5" w:rsidP="00851AE5">
      <w:pPr>
        <w:pStyle w:val="a6"/>
        <w:spacing w:line="360" w:lineRule="auto"/>
        <w:rPr>
          <w:rFonts w:ascii="宋体" w:hAnsi="宋体"/>
          <w:sz w:val="24"/>
          <w:szCs w:val="24"/>
        </w:rPr>
      </w:pPr>
    </w:p>
    <w:p w14:paraId="6DE166A4" w14:textId="7D677EF0" w:rsidR="00B50A91" w:rsidRPr="00F253E3" w:rsidRDefault="00B50A91" w:rsidP="00B50A91">
      <w:pPr>
        <w:spacing w:line="360" w:lineRule="auto"/>
        <w:ind w:firstLineChars="200" w:firstLine="482"/>
        <w:rPr>
          <w:rFonts w:asciiTheme="minorEastAsia" w:eastAsiaTheme="minorEastAsia" w:hAnsiTheme="minorEastAsia"/>
          <w:b/>
          <w:sz w:val="24"/>
          <w:szCs w:val="24"/>
        </w:rPr>
      </w:pPr>
      <w:r w:rsidRPr="00F253E3">
        <w:rPr>
          <w:rFonts w:asciiTheme="minorEastAsia" w:eastAsiaTheme="minorEastAsia" w:hAnsiTheme="minorEastAsia" w:hint="eastAsia"/>
          <w:b/>
          <w:sz w:val="24"/>
          <w:szCs w:val="24"/>
        </w:rPr>
        <w:t>重要提示：</w:t>
      </w:r>
    </w:p>
    <w:p w14:paraId="43B0175E" w14:textId="7D90A273" w:rsidR="0091759E" w:rsidRPr="00F253E3" w:rsidRDefault="00F91584" w:rsidP="00B50A91">
      <w:pPr>
        <w:spacing w:line="360" w:lineRule="auto"/>
        <w:ind w:firstLineChars="200" w:firstLine="480"/>
        <w:rPr>
          <w:rFonts w:asciiTheme="minorEastAsia" w:eastAsiaTheme="minorEastAsia" w:hAnsiTheme="minorEastAsia"/>
          <w:sz w:val="24"/>
          <w:szCs w:val="24"/>
        </w:rPr>
      </w:pPr>
      <w:r w:rsidRPr="00F253E3">
        <w:rPr>
          <w:rFonts w:asciiTheme="minorEastAsia" w:eastAsiaTheme="minorEastAsia" w:hAnsiTheme="minorEastAsia" w:hint="eastAsia"/>
          <w:sz w:val="24"/>
          <w:szCs w:val="24"/>
        </w:rPr>
        <w:t>●</w:t>
      </w:r>
      <w:r w:rsidR="00E92D40" w:rsidRPr="00F253E3">
        <w:rPr>
          <w:rFonts w:asciiTheme="minorEastAsia" w:eastAsiaTheme="minorEastAsia" w:hAnsiTheme="minorEastAsia" w:hint="eastAsia"/>
          <w:sz w:val="24"/>
          <w:szCs w:val="24"/>
        </w:rPr>
        <w:t>投资种类：证券投资（含二级市场的股票、债券、基金</w:t>
      </w:r>
      <w:r w:rsidR="002762F1" w:rsidRPr="00F253E3">
        <w:rPr>
          <w:rFonts w:asciiTheme="minorEastAsia" w:eastAsiaTheme="minorEastAsia" w:hAnsiTheme="minorEastAsia" w:hint="eastAsia"/>
          <w:sz w:val="24"/>
          <w:szCs w:val="24"/>
        </w:rPr>
        <w:t>等</w:t>
      </w:r>
      <w:r w:rsidR="00E92D40" w:rsidRPr="00F253E3">
        <w:rPr>
          <w:rFonts w:asciiTheme="minorEastAsia" w:eastAsiaTheme="minorEastAsia" w:hAnsiTheme="minorEastAsia" w:hint="eastAsia"/>
          <w:sz w:val="24"/>
          <w:szCs w:val="24"/>
        </w:rPr>
        <w:t>）</w:t>
      </w:r>
      <w:r w:rsidR="003E2E88" w:rsidRPr="00F253E3">
        <w:rPr>
          <w:rFonts w:asciiTheme="minorEastAsia" w:eastAsiaTheme="minorEastAsia" w:hAnsiTheme="minorEastAsia" w:hint="eastAsia"/>
          <w:sz w:val="24"/>
          <w:szCs w:val="24"/>
        </w:rPr>
        <w:t>。</w:t>
      </w:r>
    </w:p>
    <w:p w14:paraId="3BAB496B" w14:textId="64C30377" w:rsidR="00E45050" w:rsidRPr="00F253E3" w:rsidRDefault="00F91584" w:rsidP="00B50A91">
      <w:pPr>
        <w:spacing w:line="360" w:lineRule="auto"/>
        <w:ind w:firstLineChars="200" w:firstLine="480"/>
        <w:rPr>
          <w:rFonts w:asciiTheme="minorEastAsia" w:eastAsiaTheme="minorEastAsia" w:hAnsiTheme="minorEastAsia"/>
          <w:sz w:val="24"/>
          <w:szCs w:val="24"/>
        </w:rPr>
      </w:pPr>
      <w:r w:rsidRPr="00F253E3">
        <w:rPr>
          <w:rFonts w:asciiTheme="minorEastAsia" w:eastAsiaTheme="minorEastAsia" w:hAnsiTheme="minorEastAsia" w:hint="eastAsia"/>
          <w:sz w:val="24"/>
          <w:szCs w:val="24"/>
        </w:rPr>
        <w:t>●</w:t>
      </w:r>
      <w:r w:rsidR="00E92D40" w:rsidRPr="00F253E3">
        <w:rPr>
          <w:rFonts w:asciiTheme="minorEastAsia" w:eastAsiaTheme="minorEastAsia" w:hAnsiTheme="minorEastAsia" w:hint="eastAsia"/>
          <w:sz w:val="24"/>
          <w:szCs w:val="24"/>
        </w:rPr>
        <w:t>证券投资额度及期限：</w:t>
      </w:r>
      <w:r w:rsidR="003A52BC" w:rsidRPr="00F253E3">
        <w:rPr>
          <w:rFonts w:asciiTheme="minorEastAsia" w:eastAsiaTheme="minorEastAsia" w:hAnsiTheme="minorEastAsia" w:hint="eastAsia"/>
          <w:sz w:val="24"/>
          <w:szCs w:val="24"/>
        </w:rPr>
        <w:t xml:space="preserve"> </w:t>
      </w:r>
      <w:r w:rsidR="00E92D40" w:rsidRPr="00F253E3">
        <w:rPr>
          <w:rFonts w:asciiTheme="minorEastAsia" w:eastAsiaTheme="minorEastAsia" w:hAnsiTheme="minorEastAsia" w:hint="eastAsia"/>
          <w:sz w:val="24"/>
          <w:szCs w:val="24"/>
        </w:rPr>
        <w:t>2023年度</w:t>
      </w:r>
      <w:r w:rsidR="003A52BC" w:rsidRPr="00F253E3">
        <w:rPr>
          <w:rFonts w:asciiTheme="minorEastAsia" w:eastAsiaTheme="minorEastAsia" w:hAnsiTheme="minorEastAsia" w:hint="eastAsia"/>
          <w:sz w:val="24"/>
          <w:szCs w:val="24"/>
        </w:rPr>
        <w:t>拟</w:t>
      </w:r>
      <w:r w:rsidR="00E92D40" w:rsidRPr="00F253E3">
        <w:rPr>
          <w:rFonts w:asciiTheme="minorEastAsia" w:eastAsiaTheme="minorEastAsia" w:hAnsiTheme="minorEastAsia" w:hint="eastAsia"/>
          <w:sz w:val="24"/>
          <w:szCs w:val="24"/>
        </w:rPr>
        <w:t>使用自有资金进行证券投资，最高额度为不超过公司2021年度经审计归属于上市公司股东的净资产的10%（含证券投资收益进行再投资的相关金额），在前述最高额度内，可循环滚动使用</w:t>
      </w:r>
      <w:r w:rsidR="00D800DB" w:rsidRPr="00F253E3">
        <w:rPr>
          <w:rFonts w:asciiTheme="minorEastAsia" w:eastAsiaTheme="minorEastAsia" w:hAnsiTheme="minorEastAsia" w:hint="eastAsia"/>
          <w:sz w:val="24"/>
          <w:szCs w:val="24"/>
        </w:rPr>
        <w:t>。</w:t>
      </w:r>
    </w:p>
    <w:p w14:paraId="5A57221A" w14:textId="0CABF065" w:rsidR="00E45050" w:rsidRPr="00F253E3" w:rsidRDefault="00E45050" w:rsidP="00E45050">
      <w:pPr>
        <w:spacing w:line="360" w:lineRule="auto"/>
        <w:ind w:firstLineChars="200" w:firstLine="480"/>
        <w:rPr>
          <w:rFonts w:asciiTheme="minorEastAsia" w:eastAsiaTheme="minorEastAsia" w:hAnsiTheme="minorEastAsia"/>
          <w:sz w:val="24"/>
          <w:szCs w:val="24"/>
        </w:rPr>
      </w:pPr>
      <w:r w:rsidRPr="00F253E3">
        <w:rPr>
          <w:rFonts w:asciiTheme="minorEastAsia" w:eastAsiaTheme="minorEastAsia" w:hAnsiTheme="minorEastAsia" w:hint="eastAsia"/>
          <w:sz w:val="24"/>
          <w:szCs w:val="24"/>
        </w:rPr>
        <w:t>●审议程序：本次事项已经公司第五届董事第四次会议审议通过，尚需提交公司股东大会审议。</w:t>
      </w:r>
    </w:p>
    <w:p w14:paraId="5BC4274B" w14:textId="34DC707C" w:rsidR="00E45050" w:rsidRPr="00F253E3" w:rsidRDefault="00E45050" w:rsidP="00E45050">
      <w:pPr>
        <w:spacing w:line="360" w:lineRule="auto"/>
        <w:ind w:firstLineChars="200" w:firstLine="480"/>
        <w:rPr>
          <w:rFonts w:asciiTheme="minorEastAsia" w:eastAsiaTheme="minorEastAsia" w:hAnsiTheme="minorEastAsia"/>
          <w:sz w:val="24"/>
          <w:szCs w:val="24"/>
        </w:rPr>
      </w:pPr>
      <w:r w:rsidRPr="00F253E3">
        <w:rPr>
          <w:rFonts w:asciiTheme="minorEastAsia" w:eastAsiaTheme="minorEastAsia" w:hAnsiTheme="minorEastAsia" w:hint="eastAsia"/>
          <w:sz w:val="24"/>
          <w:szCs w:val="24"/>
        </w:rPr>
        <w:t>●资金来源：自有资金。</w:t>
      </w:r>
    </w:p>
    <w:p w14:paraId="4370550C" w14:textId="0399436F" w:rsidR="0011336A" w:rsidRPr="00F253E3" w:rsidRDefault="00F91584" w:rsidP="00B50A91">
      <w:pPr>
        <w:spacing w:line="360" w:lineRule="auto"/>
        <w:ind w:firstLineChars="200" w:firstLine="480"/>
        <w:rPr>
          <w:rFonts w:asciiTheme="minorEastAsia" w:eastAsiaTheme="minorEastAsia" w:hAnsiTheme="minorEastAsia"/>
          <w:sz w:val="24"/>
          <w:szCs w:val="24"/>
        </w:rPr>
      </w:pPr>
      <w:r w:rsidRPr="00F253E3">
        <w:rPr>
          <w:rFonts w:asciiTheme="minorEastAsia" w:eastAsiaTheme="minorEastAsia" w:hAnsiTheme="minorEastAsia" w:hint="eastAsia"/>
          <w:sz w:val="24"/>
          <w:szCs w:val="24"/>
        </w:rPr>
        <w:t>●</w:t>
      </w:r>
      <w:r w:rsidR="00E45050" w:rsidRPr="00F253E3">
        <w:rPr>
          <w:rFonts w:asciiTheme="minorEastAsia" w:eastAsiaTheme="minorEastAsia" w:hAnsiTheme="minorEastAsia" w:hint="eastAsia"/>
          <w:sz w:val="24"/>
          <w:szCs w:val="24"/>
        </w:rPr>
        <w:t>特别风险提示：</w:t>
      </w:r>
      <w:r w:rsidR="000503B9" w:rsidRPr="00F253E3">
        <w:rPr>
          <w:rFonts w:asciiTheme="minorEastAsia" w:eastAsiaTheme="minorEastAsia" w:hAnsiTheme="minorEastAsia" w:hint="eastAsia"/>
          <w:sz w:val="24"/>
          <w:szCs w:val="24"/>
        </w:rPr>
        <w:t>金融市场</w:t>
      </w:r>
      <w:r w:rsidR="00E45050" w:rsidRPr="00F253E3">
        <w:rPr>
          <w:rFonts w:asciiTheme="minorEastAsia" w:eastAsiaTheme="minorEastAsia" w:hAnsiTheme="minorEastAsia" w:hint="eastAsia"/>
          <w:sz w:val="24"/>
          <w:szCs w:val="24"/>
        </w:rPr>
        <w:t>受宏观经济、投资标的选择、市场环境等因素影响，公司进行证券投资业务面临投资收益不确定性风险、公允价值变动影响公司损益的风险、操作风险等风险，敬请广大投资者</w:t>
      </w:r>
      <w:r w:rsidR="00C41CDB" w:rsidRPr="00F253E3">
        <w:rPr>
          <w:rFonts w:asciiTheme="minorEastAsia" w:eastAsiaTheme="minorEastAsia" w:hAnsiTheme="minorEastAsia" w:hint="eastAsia"/>
          <w:sz w:val="24"/>
          <w:szCs w:val="24"/>
        </w:rPr>
        <w:t>注意</w:t>
      </w:r>
      <w:r w:rsidR="00E45050" w:rsidRPr="00F253E3">
        <w:rPr>
          <w:rFonts w:asciiTheme="minorEastAsia" w:eastAsiaTheme="minorEastAsia" w:hAnsiTheme="minorEastAsia" w:hint="eastAsia"/>
          <w:sz w:val="24"/>
          <w:szCs w:val="24"/>
        </w:rPr>
        <w:t>投资风险</w:t>
      </w:r>
      <w:r w:rsidR="0011336A" w:rsidRPr="00F253E3">
        <w:rPr>
          <w:rFonts w:asciiTheme="minorEastAsia" w:eastAsiaTheme="minorEastAsia" w:hAnsiTheme="minorEastAsia" w:hint="eastAsia"/>
          <w:sz w:val="24"/>
          <w:szCs w:val="24"/>
        </w:rPr>
        <w:t>。</w:t>
      </w:r>
    </w:p>
    <w:p w14:paraId="477B834D" w14:textId="77777777" w:rsidR="0016103E" w:rsidRPr="00F253E3" w:rsidRDefault="0016103E" w:rsidP="00D37AA8">
      <w:pPr>
        <w:pStyle w:val="a6"/>
        <w:adjustRightInd w:val="0"/>
        <w:snapToGrid w:val="0"/>
        <w:spacing w:line="360" w:lineRule="auto"/>
        <w:rPr>
          <w:rFonts w:ascii="宋体" w:hAnsi="宋体"/>
          <w:sz w:val="24"/>
          <w:szCs w:val="24"/>
        </w:rPr>
      </w:pPr>
    </w:p>
    <w:p w14:paraId="2061D89B" w14:textId="07BDB715" w:rsidR="000D05D9" w:rsidRPr="00F253E3" w:rsidRDefault="000D05D9" w:rsidP="009D774C">
      <w:pPr>
        <w:pStyle w:val="a6"/>
        <w:adjustRightInd w:val="0"/>
        <w:snapToGrid w:val="0"/>
        <w:spacing w:line="360" w:lineRule="auto"/>
        <w:ind w:firstLineChars="200" w:firstLine="480"/>
        <w:rPr>
          <w:rFonts w:asciiTheme="minorEastAsia" w:eastAsiaTheme="minorEastAsia" w:hAnsiTheme="minorEastAsia"/>
          <w:sz w:val="24"/>
          <w:szCs w:val="24"/>
        </w:rPr>
      </w:pPr>
      <w:r w:rsidRPr="00F253E3">
        <w:rPr>
          <w:rFonts w:asciiTheme="minorEastAsia" w:eastAsiaTheme="minorEastAsia" w:hAnsiTheme="minorEastAsia"/>
          <w:sz w:val="24"/>
          <w:szCs w:val="24"/>
        </w:rPr>
        <w:t>202</w:t>
      </w:r>
      <w:r w:rsidR="00BE5D98" w:rsidRPr="00F253E3">
        <w:rPr>
          <w:rFonts w:asciiTheme="minorEastAsia" w:eastAsiaTheme="minorEastAsia" w:hAnsiTheme="minorEastAsia"/>
          <w:sz w:val="24"/>
          <w:szCs w:val="24"/>
        </w:rPr>
        <w:t>3</w:t>
      </w:r>
      <w:r w:rsidRPr="00F253E3">
        <w:rPr>
          <w:rFonts w:asciiTheme="minorEastAsia" w:eastAsiaTheme="minorEastAsia" w:hAnsiTheme="minorEastAsia" w:hint="eastAsia"/>
          <w:sz w:val="24"/>
          <w:szCs w:val="24"/>
        </w:rPr>
        <w:t>年</w:t>
      </w:r>
      <w:r w:rsidRPr="00F253E3">
        <w:rPr>
          <w:rFonts w:asciiTheme="minorEastAsia" w:eastAsiaTheme="minorEastAsia" w:hAnsiTheme="minorEastAsia"/>
          <w:sz w:val="24"/>
          <w:szCs w:val="24"/>
        </w:rPr>
        <w:t>2</w:t>
      </w:r>
      <w:r w:rsidRPr="00F253E3">
        <w:rPr>
          <w:rFonts w:asciiTheme="minorEastAsia" w:eastAsiaTheme="minorEastAsia" w:hAnsiTheme="minorEastAsia" w:hint="eastAsia"/>
          <w:sz w:val="24"/>
          <w:szCs w:val="24"/>
        </w:rPr>
        <w:t>月</w:t>
      </w:r>
      <w:r w:rsidR="007668D7" w:rsidRPr="00F253E3">
        <w:rPr>
          <w:rFonts w:asciiTheme="minorEastAsia" w:eastAsiaTheme="minorEastAsia" w:hAnsiTheme="minorEastAsia" w:hint="eastAsia"/>
          <w:sz w:val="24"/>
          <w:szCs w:val="24"/>
        </w:rPr>
        <w:t>2</w:t>
      </w:r>
      <w:r w:rsidR="007668D7" w:rsidRPr="00F253E3">
        <w:rPr>
          <w:rFonts w:asciiTheme="minorEastAsia" w:eastAsiaTheme="minorEastAsia" w:hAnsiTheme="minorEastAsia"/>
          <w:sz w:val="24"/>
          <w:szCs w:val="24"/>
        </w:rPr>
        <w:t>4</w:t>
      </w:r>
      <w:r w:rsidRPr="00F253E3">
        <w:rPr>
          <w:rFonts w:asciiTheme="minorEastAsia" w:eastAsiaTheme="minorEastAsia" w:hAnsiTheme="minorEastAsia" w:hint="eastAsia"/>
          <w:sz w:val="24"/>
          <w:szCs w:val="24"/>
        </w:rPr>
        <w:t>日</w:t>
      </w:r>
      <w:r w:rsidR="00B205CD" w:rsidRPr="00F253E3">
        <w:rPr>
          <w:rFonts w:asciiTheme="minorEastAsia" w:eastAsiaTheme="minorEastAsia" w:hAnsiTheme="minorEastAsia" w:hint="eastAsia"/>
          <w:sz w:val="24"/>
          <w:szCs w:val="24"/>
        </w:rPr>
        <w:t>，</w:t>
      </w:r>
      <w:r w:rsidR="007D4E0E" w:rsidRPr="00F253E3">
        <w:rPr>
          <w:rFonts w:asciiTheme="minorEastAsia" w:eastAsiaTheme="minorEastAsia" w:hAnsiTheme="minorEastAsia" w:hint="eastAsia"/>
          <w:sz w:val="24"/>
          <w:szCs w:val="24"/>
        </w:rPr>
        <w:t>浙江万盛股份有限公司（以下简称“公司”）</w:t>
      </w:r>
      <w:r w:rsidRPr="00F253E3">
        <w:rPr>
          <w:rFonts w:asciiTheme="minorEastAsia" w:eastAsiaTheme="minorEastAsia" w:hAnsiTheme="minorEastAsia" w:hint="eastAsia"/>
          <w:sz w:val="24"/>
          <w:szCs w:val="24"/>
        </w:rPr>
        <w:t>召开第</w:t>
      </w:r>
      <w:r w:rsidR="00BE5D98" w:rsidRPr="00F253E3">
        <w:rPr>
          <w:rFonts w:asciiTheme="minorEastAsia" w:eastAsiaTheme="minorEastAsia" w:hAnsiTheme="minorEastAsia" w:hint="eastAsia"/>
          <w:sz w:val="24"/>
          <w:szCs w:val="24"/>
        </w:rPr>
        <w:t>五</w:t>
      </w:r>
      <w:r w:rsidRPr="00F253E3">
        <w:rPr>
          <w:rFonts w:asciiTheme="minorEastAsia" w:eastAsiaTheme="minorEastAsia" w:hAnsiTheme="minorEastAsia" w:hint="eastAsia"/>
          <w:sz w:val="24"/>
          <w:szCs w:val="24"/>
        </w:rPr>
        <w:t>届董事会第</w:t>
      </w:r>
      <w:r w:rsidR="00BE5D98" w:rsidRPr="00F253E3">
        <w:rPr>
          <w:rFonts w:asciiTheme="minorEastAsia" w:eastAsiaTheme="minorEastAsia" w:hAnsiTheme="minorEastAsia" w:hint="eastAsia"/>
          <w:sz w:val="24"/>
          <w:szCs w:val="24"/>
        </w:rPr>
        <w:t>四</w:t>
      </w:r>
      <w:r w:rsidR="00191887" w:rsidRPr="00F253E3">
        <w:rPr>
          <w:rFonts w:asciiTheme="minorEastAsia" w:eastAsiaTheme="minorEastAsia" w:hAnsiTheme="minorEastAsia" w:hint="eastAsia"/>
          <w:sz w:val="24"/>
          <w:szCs w:val="24"/>
        </w:rPr>
        <w:t>次会议</w:t>
      </w:r>
      <w:r w:rsidRPr="00F253E3">
        <w:rPr>
          <w:rFonts w:asciiTheme="minorEastAsia" w:eastAsiaTheme="minorEastAsia" w:hAnsiTheme="minorEastAsia" w:hint="eastAsia"/>
          <w:sz w:val="24"/>
          <w:szCs w:val="24"/>
        </w:rPr>
        <w:t>审议通过了《</w:t>
      </w:r>
      <w:r w:rsidR="00191887" w:rsidRPr="00F253E3">
        <w:rPr>
          <w:rFonts w:asciiTheme="minorEastAsia" w:eastAsiaTheme="minorEastAsia" w:hAnsiTheme="minorEastAsia" w:hint="eastAsia"/>
          <w:sz w:val="24"/>
          <w:szCs w:val="24"/>
        </w:rPr>
        <w:t>关于2023年度使用自有资金进行证券投资的</w:t>
      </w:r>
      <w:r w:rsidRPr="00F253E3">
        <w:rPr>
          <w:rFonts w:asciiTheme="minorEastAsia" w:eastAsiaTheme="minorEastAsia" w:hAnsiTheme="minorEastAsia" w:hint="eastAsia"/>
          <w:sz w:val="24"/>
          <w:szCs w:val="24"/>
        </w:rPr>
        <w:t>议案》,</w:t>
      </w:r>
      <w:r w:rsidR="00BE5D98" w:rsidRPr="00F253E3">
        <w:rPr>
          <w:rFonts w:hint="eastAsia"/>
        </w:rPr>
        <w:t xml:space="preserve"> </w:t>
      </w:r>
      <w:r w:rsidR="00BE5D98" w:rsidRPr="00F253E3">
        <w:rPr>
          <w:rFonts w:asciiTheme="minorEastAsia" w:eastAsiaTheme="minorEastAsia" w:hAnsiTheme="minorEastAsia" w:hint="eastAsia"/>
          <w:sz w:val="24"/>
          <w:szCs w:val="24"/>
        </w:rPr>
        <w:t>同意</w:t>
      </w:r>
      <w:r w:rsidR="00250E4F" w:rsidRPr="00F253E3">
        <w:rPr>
          <w:rFonts w:asciiTheme="minorEastAsia" w:eastAsiaTheme="minorEastAsia" w:hAnsiTheme="minorEastAsia" w:hint="eastAsia"/>
          <w:sz w:val="24"/>
          <w:szCs w:val="24"/>
        </w:rPr>
        <w:t>公司在2023年度使用自有资金进行证券投资</w:t>
      </w:r>
      <w:r w:rsidR="00BE5D98" w:rsidRPr="00F253E3">
        <w:rPr>
          <w:rFonts w:asciiTheme="minorEastAsia" w:eastAsiaTheme="minorEastAsia" w:hAnsiTheme="minorEastAsia" w:hint="eastAsia"/>
          <w:sz w:val="24"/>
          <w:szCs w:val="24"/>
        </w:rPr>
        <w:t>。</w:t>
      </w:r>
      <w:r w:rsidR="00E627E8" w:rsidRPr="00F253E3">
        <w:rPr>
          <w:rFonts w:ascii="宋体" w:hAnsi="宋体" w:hint="eastAsia"/>
          <w:sz w:val="24"/>
          <w:szCs w:val="24"/>
        </w:rPr>
        <w:t>现将具体情况公告如下：</w:t>
      </w:r>
    </w:p>
    <w:p w14:paraId="744EAAB0" w14:textId="77777777" w:rsidR="00B92540" w:rsidRPr="00F253E3" w:rsidRDefault="00B92540" w:rsidP="009D774C">
      <w:pPr>
        <w:spacing w:line="360" w:lineRule="auto"/>
        <w:ind w:firstLine="482"/>
        <w:rPr>
          <w:rFonts w:hAnsi="宋体"/>
          <w:b/>
          <w:sz w:val="24"/>
        </w:rPr>
      </w:pPr>
      <w:r w:rsidRPr="00F253E3">
        <w:rPr>
          <w:rFonts w:hAnsi="宋体" w:hint="eastAsia"/>
          <w:b/>
          <w:sz w:val="24"/>
        </w:rPr>
        <w:t>一、投资情况概述</w:t>
      </w:r>
    </w:p>
    <w:p w14:paraId="08F71375" w14:textId="77777777" w:rsidR="00B92540" w:rsidRPr="00F253E3" w:rsidRDefault="00B92540" w:rsidP="009D774C">
      <w:pPr>
        <w:spacing w:line="360" w:lineRule="auto"/>
        <w:ind w:firstLine="480"/>
        <w:rPr>
          <w:rFonts w:hAnsi="宋体"/>
          <w:sz w:val="24"/>
        </w:rPr>
      </w:pPr>
      <w:r w:rsidRPr="00F253E3">
        <w:rPr>
          <w:rFonts w:hAnsi="宋体" w:hint="eastAsia"/>
          <w:sz w:val="24"/>
        </w:rPr>
        <w:t>（一）投资目的</w:t>
      </w:r>
    </w:p>
    <w:p w14:paraId="09B22A2D" w14:textId="77777777" w:rsidR="00B92540" w:rsidRPr="00F253E3" w:rsidRDefault="00B92540" w:rsidP="009D774C">
      <w:pPr>
        <w:spacing w:line="360" w:lineRule="auto"/>
        <w:ind w:firstLine="480"/>
        <w:rPr>
          <w:rFonts w:hAnsi="宋体"/>
          <w:sz w:val="24"/>
        </w:rPr>
      </w:pPr>
      <w:r w:rsidRPr="00F253E3">
        <w:rPr>
          <w:rFonts w:hAnsi="宋体" w:hint="eastAsia"/>
          <w:sz w:val="24"/>
        </w:rPr>
        <w:t>为提高资金的使用效率，在不影响公司主营业务发展的前提下，根据实际经营情况，公司使用自有资金进行证券投资，增加投资收益。</w:t>
      </w:r>
    </w:p>
    <w:p w14:paraId="1308BC71" w14:textId="77777777" w:rsidR="00B92540" w:rsidRPr="00F253E3" w:rsidRDefault="00B92540" w:rsidP="009D774C">
      <w:pPr>
        <w:spacing w:line="360" w:lineRule="auto"/>
        <w:ind w:firstLine="480"/>
        <w:rPr>
          <w:rFonts w:hAnsi="宋体"/>
          <w:sz w:val="24"/>
        </w:rPr>
      </w:pPr>
      <w:r w:rsidRPr="00F253E3">
        <w:rPr>
          <w:rFonts w:hAnsi="宋体" w:hint="eastAsia"/>
          <w:sz w:val="24"/>
        </w:rPr>
        <w:t>（二）投资金额</w:t>
      </w:r>
    </w:p>
    <w:p w14:paraId="51320873" w14:textId="77777777" w:rsidR="00B92540" w:rsidRPr="00F253E3" w:rsidRDefault="00B92540" w:rsidP="009D774C">
      <w:pPr>
        <w:spacing w:line="360" w:lineRule="auto"/>
        <w:ind w:firstLine="480"/>
        <w:rPr>
          <w:rFonts w:hAnsi="宋体"/>
          <w:sz w:val="24"/>
        </w:rPr>
      </w:pPr>
      <w:r w:rsidRPr="00F253E3">
        <w:rPr>
          <w:rFonts w:hAnsi="宋体" w:hint="eastAsia"/>
          <w:sz w:val="24"/>
        </w:rPr>
        <w:t>最高额度为</w:t>
      </w:r>
      <w:r w:rsidRPr="00F253E3">
        <w:rPr>
          <w:rFonts w:asciiTheme="minorEastAsia" w:eastAsiaTheme="minorEastAsia" w:hAnsiTheme="minorEastAsia" w:hint="eastAsia"/>
          <w:sz w:val="24"/>
          <w:szCs w:val="24"/>
        </w:rPr>
        <w:t>202</w:t>
      </w:r>
      <w:r w:rsidRPr="00F253E3">
        <w:rPr>
          <w:rFonts w:asciiTheme="minorEastAsia" w:eastAsiaTheme="minorEastAsia" w:hAnsiTheme="minorEastAsia"/>
          <w:sz w:val="24"/>
          <w:szCs w:val="24"/>
        </w:rPr>
        <w:t>1</w:t>
      </w:r>
      <w:r w:rsidRPr="00F253E3">
        <w:rPr>
          <w:rFonts w:asciiTheme="minorEastAsia" w:eastAsiaTheme="minorEastAsia" w:hAnsiTheme="minorEastAsia" w:hint="eastAsia"/>
          <w:sz w:val="24"/>
          <w:szCs w:val="24"/>
        </w:rPr>
        <w:t>年度</w:t>
      </w:r>
      <w:r w:rsidRPr="00F253E3">
        <w:rPr>
          <w:rFonts w:hAnsi="宋体" w:hint="eastAsia"/>
          <w:sz w:val="24"/>
        </w:rPr>
        <w:t>经审计归属于上市公司股东的净资产的</w:t>
      </w:r>
      <w:r w:rsidRPr="00F253E3">
        <w:rPr>
          <w:rFonts w:hAnsi="宋体"/>
          <w:sz w:val="24"/>
        </w:rPr>
        <w:t>10</w:t>
      </w:r>
      <w:r w:rsidRPr="00F253E3">
        <w:rPr>
          <w:rFonts w:hAnsi="宋体" w:hint="eastAsia"/>
          <w:sz w:val="24"/>
        </w:rPr>
        <w:t>%</w:t>
      </w:r>
      <w:r w:rsidRPr="00F253E3">
        <w:rPr>
          <w:rFonts w:hAnsi="宋体" w:hint="eastAsia"/>
          <w:sz w:val="24"/>
        </w:rPr>
        <w:t>（含证券投资的收益进行再投资的相关金额），在前述最高额度内，可循环滚动使用。最</w:t>
      </w:r>
      <w:r w:rsidRPr="00F253E3">
        <w:rPr>
          <w:rFonts w:hAnsi="宋体" w:hint="eastAsia"/>
          <w:sz w:val="24"/>
        </w:rPr>
        <w:lastRenderedPageBreak/>
        <w:t>高额度是指期限内任一时点的交易金额。</w:t>
      </w:r>
    </w:p>
    <w:p w14:paraId="077B15F9" w14:textId="77777777" w:rsidR="00B92540" w:rsidRPr="00F253E3" w:rsidRDefault="00B92540" w:rsidP="009D774C">
      <w:pPr>
        <w:spacing w:line="360" w:lineRule="auto"/>
        <w:ind w:firstLine="480"/>
        <w:rPr>
          <w:rFonts w:hAnsi="宋体"/>
          <w:sz w:val="24"/>
        </w:rPr>
      </w:pPr>
      <w:r w:rsidRPr="00F253E3">
        <w:rPr>
          <w:rFonts w:hAnsi="宋体" w:hint="eastAsia"/>
          <w:sz w:val="24"/>
        </w:rPr>
        <w:t>（三）资金来源</w:t>
      </w:r>
    </w:p>
    <w:p w14:paraId="18069E0B" w14:textId="1A10BFBD" w:rsidR="00B92540" w:rsidRPr="00F253E3" w:rsidRDefault="00B92540" w:rsidP="009D774C">
      <w:pPr>
        <w:spacing w:line="360" w:lineRule="auto"/>
        <w:ind w:firstLine="480"/>
        <w:rPr>
          <w:rFonts w:hAnsi="宋体"/>
          <w:sz w:val="24"/>
        </w:rPr>
      </w:pPr>
      <w:r w:rsidRPr="00F253E3">
        <w:rPr>
          <w:rFonts w:hAnsi="宋体" w:hint="eastAsia"/>
          <w:sz w:val="24"/>
        </w:rPr>
        <w:t>公司</w:t>
      </w:r>
      <w:r w:rsidR="008F2556" w:rsidRPr="00F253E3">
        <w:rPr>
          <w:rFonts w:hAnsi="宋体" w:hint="eastAsia"/>
          <w:sz w:val="24"/>
        </w:rPr>
        <w:t>自有资金，不涉及</w:t>
      </w:r>
      <w:r w:rsidRPr="00F253E3">
        <w:rPr>
          <w:rFonts w:hAnsi="宋体" w:hint="eastAsia"/>
          <w:sz w:val="24"/>
        </w:rPr>
        <w:t>募集资金。</w:t>
      </w:r>
    </w:p>
    <w:p w14:paraId="50E9C265" w14:textId="77777777" w:rsidR="00B92540" w:rsidRPr="00F253E3" w:rsidRDefault="00B92540" w:rsidP="009D774C">
      <w:pPr>
        <w:spacing w:line="360" w:lineRule="auto"/>
        <w:ind w:firstLine="480"/>
        <w:rPr>
          <w:rFonts w:hAnsi="宋体"/>
          <w:sz w:val="24"/>
        </w:rPr>
      </w:pPr>
      <w:r w:rsidRPr="00F253E3">
        <w:rPr>
          <w:rFonts w:hAnsi="宋体" w:hint="eastAsia"/>
          <w:sz w:val="24"/>
        </w:rPr>
        <w:t>（四）投资方式</w:t>
      </w:r>
    </w:p>
    <w:p w14:paraId="32D37196" w14:textId="481E976F" w:rsidR="00B92540" w:rsidRPr="00F253E3" w:rsidRDefault="00B92540" w:rsidP="009D774C">
      <w:pPr>
        <w:spacing w:line="360" w:lineRule="auto"/>
        <w:ind w:firstLine="480"/>
        <w:rPr>
          <w:rFonts w:hAnsi="宋体"/>
          <w:sz w:val="24"/>
        </w:rPr>
      </w:pPr>
      <w:r w:rsidRPr="00F253E3">
        <w:rPr>
          <w:rFonts w:hAnsi="宋体" w:hint="eastAsia"/>
          <w:sz w:val="24"/>
        </w:rPr>
        <w:t>证券投资方式包括但不限于二级市场集合竞价交易、大宗交易、定向增发、协议转让、网下打新、战略配售、</w:t>
      </w:r>
      <w:r w:rsidR="00F7331F" w:rsidRPr="00F253E3">
        <w:rPr>
          <w:rFonts w:hAnsi="宋体" w:hint="eastAsia"/>
          <w:sz w:val="24"/>
        </w:rPr>
        <w:t>基金产品、</w:t>
      </w:r>
      <w:r w:rsidRPr="00F253E3">
        <w:rPr>
          <w:rFonts w:hAnsi="宋体" w:hint="eastAsia"/>
          <w:sz w:val="24"/>
        </w:rPr>
        <w:t>债券市场投资</w:t>
      </w:r>
      <w:r w:rsidR="00F7331F" w:rsidRPr="00F253E3">
        <w:rPr>
          <w:rFonts w:hAnsi="宋体" w:hint="eastAsia"/>
          <w:sz w:val="24"/>
        </w:rPr>
        <w:t>以及上海证券交易所认定的其他投资行为</w:t>
      </w:r>
      <w:r w:rsidRPr="00F253E3">
        <w:rPr>
          <w:rFonts w:hAnsi="宋体" w:hint="eastAsia"/>
          <w:sz w:val="24"/>
        </w:rPr>
        <w:t>。具体风险等级视产品而定。</w:t>
      </w:r>
    </w:p>
    <w:p w14:paraId="74B9599C" w14:textId="77777777" w:rsidR="00B92540" w:rsidRPr="00F253E3" w:rsidRDefault="00B92540" w:rsidP="009D774C">
      <w:pPr>
        <w:spacing w:line="360" w:lineRule="auto"/>
        <w:ind w:firstLine="480"/>
        <w:rPr>
          <w:rFonts w:hAnsi="宋体"/>
          <w:sz w:val="24"/>
        </w:rPr>
      </w:pPr>
      <w:r w:rsidRPr="00F253E3">
        <w:rPr>
          <w:rFonts w:hAnsi="宋体" w:hint="eastAsia"/>
          <w:sz w:val="24"/>
        </w:rPr>
        <w:t>（五）授权期限</w:t>
      </w:r>
    </w:p>
    <w:p w14:paraId="2B74809E" w14:textId="0F8399D6" w:rsidR="00BE5D98" w:rsidRDefault="00B92540" w:rsidP="009D774C">
      <w:pPr>
        <w:spacing w:line="360" w:lineRule="auto"/>
        <w:ind w:firstLine="480"/>
        <w:rPr>
          <w:rFonts w:hAnsi="宋体"/>
          <w:sz w:val="24"/>
        </w:rPr>
      </w:pPr>
      <w:r w:rsidRPr="00F253E3">
        <w:rPr>
          <w:rFonts w:hAnsi="宋体" w:hint="eastAsia"/>
          <w:sz w:val="24"/>
        </w:rPr>
        <w:t>在本次授权额度范围内于</w:t>
      </w:r>
      <w:r w:rsidRPr="00F253E3">
        <w:rPr>
          <w:rFonts w:hAnsi="宋体" w:hint="eastAsia"/>
          <w:sz w:val="24"/>
        </w:rPr>
        <w:t>2023</w:t>
      </w:r>
      <w:r w:rsidRPr="00F253E3">
        <w:rPr>
          <w:rFonts w:hAnsi="宋体" w:hint="eastAsia"/>
          <w:sz w:val="24"/>
        </w:rPr>
        <w:t>年度开展，并</w:t>
      </w:r>
      <w:r w:rsidRPr="00F253E3">
        <w:rPr>
          <w:rFonts w:hAnsi="宋体"/>
          <w:sz w:val="24"/>
        </w:rPr>
        <w:t>授权公司</w:t>
      </w:r>
      <w:r w:rsidRPr="00F253E3">
        <w:rPr>
          <w:rFonts w:hAnsi="宋体" w:hint="eastAsia"/>
          <w:sz w:val="24"/>
        </w:rPr>
        <w:t>董事长</w:t>
      </w:r>
      <w:r w:rsidRPr="00F253E3">
        <w:rPr>
          <w:rFonts w:hAnsi="宋体"/>
          <w:sz w:val="24"/>
        </w:rPr>
        <w:t>在规定额度范围及额度有效期限内行使决策权</w:t>
      </w:r>
      <w:r w:rsidRPr="00F253E3">
        <w:rPr>
          <w:rFonts w:hAnsi="宋体" w:hint="eastAsia"/>
          <w:sz w:val="24"/>
        </w:rPr>
        <w:t>并签署相关文件，公司证券部负责具体实施相关事宜。</w:t>
      </w:r>
    </w:p>
    <w:p w14:paraId="1B6658F6" w14:textId="6FCA2A4A" w:rsidR="00D01723" w:rsidRPr="00F253E3" w:rsidRDefault="00D01723" w:rsidP="00D01723">
      <w:pPr>
        <w:pStyle w:val="a6"/>
        <w:adjustRightInd w:val="0"/>
        <w:snapToGrid w:val="0"/>
        <w:spacing w:line="360" w:lineRule="auto"/>
        <w:ind w:firstLineChars="200" w:firstLine="482"/>
        <w:rPr>
          <w:rFonts w:asciiTheme="minorEastAsia" w:eastAsiaTheme="minorEastAsia" w:hAnsiTheme="minorEastAsia" w:cs="Arial"/>
          <w:b/>
          <w:sz w:val="24"/>
          <w:szCs w:val="24"/>
        </w:rPr>
      </w:pPr>
      <w:r>
        <w:rPr>
          <w:rFonts w:asciiTheme="minorEastAsia" w:eastAsiaTheme="minorEastAsia" w:hAnsiTheme="minorEastAsia" w:cs="Arial" w:hint="eastAsia"/>
          <w:b/>
          <w:sz w:val="24"/>
          <w:szCs w:val="24"/>
        </w:rPr>
        <w:t>二</w:t>
      </w:r>
      <w:r w:rsidRPr="00F253E3">
        <w:rPr>
          <w:rFonts w:asciiTheme="minorEastAsia" w:eastAsiaTheme="minorEastAsia" w:hAnsiTheme="minorEastAsia" w:cs="Arial" w:hint="eastAsia"/>
          <w:b/>
          <w:sz w:val="24"/>
          <w:szCs w:val="24"/>
        </w:rPr>
        <w:t>、审议决策程序</w:t>
      </w:r>
    </w:p>
    <w:p w14:paraId="123AB422" w14:textId="12C787ED" w:rsidR="00D01723" w:rsidRDefault="00D01723" w:rsidP="00D01723">
      <w:pPr>
        <w:pStyle w:val="a6"/>
        <w:adjustRightInd w:val="0"/>
        <w:snapToGrid w:val="0"/>
        <w:spacing w:line="360" w:lineRule="auto"/>
        <w:ind w:firstLineChars="200" w:firstLine="480"/>
        <w:rPr>
          <w:rFonts w:asciiTheme="minorEastAsia" w:eastAsiaTheme="minorEastAsia" w:hAnsiTheme="minorEastAsia" w:cs="Arial"/>
          <w:sz w:val="24"/>
        </w:rPr>
      </w:pPr>
      <w:r w:rsidRPr="00D01723">
        <w:rPr>
          <w:rFonts w:asciiTheme="minorEastAsia" w:eastAsiaTheme="minorEastAsia" w:hAnsiTheme="minorEastAsia" w:cs="Arial" w:hint="eastAsia"/>
          <w:sz w:val="24"/>
        </w:rPr>
        <w:t>公司于2023年</w:t>
      </w:r>
      <w:r>
        <w:rPr>
          <w:rFonts w:asciiTheme="minorEastAsia" w:eastAsiaTheme="minorEastAsia" w:hAnsiTheme="minorEastAsia" w:cs="Arial"/>
          <w:sz w:val="24"/>
        </w:rPr>
        <w:t>2</w:t>
      </w:r>
      <w:r w:rsidRPr="00D01723">
        <w:rPr>
          <w:rFonts w:asciiTheme="minorEastAsia" w:eastAsiaTheme="minorEastAsia" w:hAnsiTheme="minorEastAsia" w:cs="Arial" w:hint="eastAsia"/>
          <w:sz w:val="24"/>
        </w:rPr>
        <w:t>月</w:t>
      </w:r>
      <w:r>
        <w:rPr>
          <w:rFonts w:asciiTheme="minorEastAsia" w:eastAsiaTheme="minorEastAsia" w:hAnsiTheme="minorEastAsia" w:cs="Arial"/>
          <w:sz w:val="24"/>
        </w:rPr>
        <w:t>24</w:t>
      </w:r>
      <w:r w:rsidRPr="00D01723">
        <w:rPr>
          <w:rFonts w:asciiTheme="minorEastAsia" w:eastAsiaTheme="minorEastAsia" w:hAnsiTheme="minorEastAsia" w:cs="Arial" w:hint="eastAsia"/>
          <w:sz w:val="24"/>
        </w:rPr>
        <w:t>日召开第</w:t>
      </w:r>
      <w:r>
        <w:rPr>
          <w:rFonts w:asciiTheme="minorEastAsia" w:eastAsiaTheme="minorEastAsia" w:hAnsiTheme="minorEastAsia" w:cs="Arial" w:hint="eastAsia"/>
          <w:sz w:val="24"/>
        </w:rPr>
        <w:t>五</w:t>
      </w:r>
      <w:r w:rsidRPr="00D01723">
        <w:rPr>
          <w:rFonts w:asciiTheme="minorEastAsia" w:eastAsiaTheme="minorEastAsia" w:hAnsiTheme="minorEastAsia" w:cs="Arial" w:hint="eastAsia"/>
          <w:sz w:val="24"/>
        </w:rPr>
        <w:t>届董事会第四次会议，审议通过《关于2023年度使用自有资金进行证券投资的</w:t>
      </w:r>
      <w:r w:rsidR="00187FCA">
        <w:rPr>
          <w:rFonts w:asciiTheme="minorEastAsia" w:eastAsiaTheme="minorEastAsia" w:hAnsiTheme="minorEastAsia" w:cs="Arial" w:hint="eastAsia"/>
          <w:sz w:val="24"/>
        </w:rPr>
        <w:t>议案</w:t>
      </w:r>
      <w:bookmarkStart w:id="0" w:name="_GoBack"/>
      <w:bookmarkEnd w:id="0"/>
      <w:r w:rsidRPr="00D01723">
        <w:rPr>
          <w:rFonts w:asciiTheme="minorEastAsia" w:eastAsiaTheme="minorEastAsia" w:hAnsiTheme="minorEastAsia" w:cs="Arial" w:hint="eastAsia"/>
          <w:sz w:val="24"/>
        </w:rPr>
        <w:t>》</w:t>
      </w:r>
      <w:r>
        <w:rPr>
          <w:rFonts w:asciiTheme="minorEastAsia" w:eastAsiaTheme="minorEastAsia" w:hAnsiTheme="minorEastAsia" w:cs="Arial" w:hint="eastAsia"/>
          <w:sz w:val="24"/>
        </w:rPr>
        <w:t>，</w:t>
      </w:r>
      <w:r w:rsidRPr="00F253E3">
        <w:rPr>
          <w:rFonts w:asciiTheme="minorEastAsia" w:eastAsiaTheme="minorEastAsia" w:hAnsiTheme="minorEastAsia" w:cs="Arial" w:hint="eastAsia"/>
          <w:sz w:val="24"/>
        </w:rPr>
        <w:t>同意公司及下属子公司在不影响公司主营业务发展的前提下，2023年度拟使用自有资金进行证券投资（含二级市场的股票、债券、基金等），最高额度为公司2</w:t>
      </w:r>
      <w:r w:rsidRPr="00F253E3">
        <w:rPr>
          <w:rFonts w:asciiTheme="minorEastAsia" w:eastAsiaTheme="minorEastAsia" w:hAnsiTheme="minorEastAsia" w:cs="Arial"/>
          <w:sz w:val="24"/>
        </w:rPr>
        <w:t>021</w:t>
      </w:r>
      <w:r w:rsidRPr="00F253E3">
        <w:rPr>
          <w:rFonts w:asciiTheme="minorEastAsia" w:eastAsiaTheme="minorEastAsia" w:hAnsiTheme="minorEastAsia" w:cs="Arial" w:hint="eastAsia"/>
          <w:sz w:val="24"/>
        </w:rPr>
        <w:t>年度经审计归属于上市公司股东的净资产的</w:t>
      </w:r>
      <w:r w:rsidRPr="00F253E3">
        <w:rPr>
          <w:rFonts w:asciiTheme="minorEastAsia" w:eastAsiaTheme="minorEastAsia" w:hAnsiTheme="minorEastAsia" w:cs="Arial"/>
          <w:sz w:val="24"/>
        </w:rPr>
        <w:t>10</w:t>
      </w:r>
      <w:r w:rsidRPr="00F253E3">
        <w:rPr>
          <w:rFonts w:asciiTheme="minorEastAsia" w:eastAsiaTheme="minorEastAsia" w:hAnsiTheme="minorEastAsia" w:cs="Arial" w:hint="eastAsia"/>
          <w:sz w:val="24"/>
        </w:rPr>
        <w:t>%（含证券投资的收益进行再投资的相关金额），在前述最高额度内，可循环滚动使用。同时授权公司董事长在规定额度范围及额度有效期限内行使决策权并签署相关文件，公司证券部负责具体实施相关事宜。本事项尚需提交公司股东大会审议。</w:t>
      </w:r>
    </w:p>
    <w:p w14:paraId="34FE5CF3" w14:textId="77777777" w:rsidR="00D01723" w:rsidRPr="00F253E3" w:rsidRDefault="00D01723" w:rsidP="00D01723">
      <w:pPr>
        <w:spacing w:line="360" w:lineRule="auto"/>
        <w:ind w:firstLine="482"/>
        <w:rPr>
          <w:rFonts w:asciiTheme="minorEastAsia" w:eastAsiaTheme="minorEastAsia" w:hAnsiTheme="minorEastAsia"/>
          <w:b/>
          <w:sz w:val="24"/>
          <w:szCs w:val="24"/>
        </w:rPr>
      </w:pPr>
      <w:r w:rsidRPr="00F253E3">
        <w:rPr>
          <w:rFonts w:asciiTheme="minorEastAsia" w:eastAsiaTheme="minorEastAsia" w:hAnsiTheme="minorEastAsia" w:hint="eastAsia"/>
          <w:b/>
          <w:sz w:val="24"/>
          <w:szCs w:val="24"/>
        </w:rPr>
        <w:t>三、对公司的影响</w:t>
      </w:r>
    </w:p>
    <w:p w14:paraId="537E4B07" w14:textId="77777777" w:rsidR="00DD692D" w:rsidRPr="00DD692D" w:rsidRDefault="00DD692D" w:rsidP="00DD692D">
      <w:pPr>
        <w:spacing w:line="360" w:lineRule="auto"/>
        <w:ind w:firstLine="482"/>
        <w:rPr>
          <w:rFonts w:asciiTheme="minorEastAsia" w:eastAsiaTheme="minorEastAsia" w:hAnsiTheme="minorEastAsia"/>
          <w:sz w:val="24"/>
          <w:szCs w:val="24"/>
        </w:rPr>
      </w:pPr>
      <w:r w:rsidRPr="00DD692D">
        <w:rPr>
          <w:rFonts w:asciiTheme="minorEastAsia" w:eastAsiaTheme="minorEastAsia" w:hAnsiTheme="minorEastAsia" w:hint="eastAsia"/>
          <w:sz w:val="24"/>
          <w:szCs w:val="24"/>
        </w:rPr>
        <w:t>公司经营情况正常，财务状况良好。在充分保障日常经营性资金需求的前提下，合理利用自有资金适度进行证券投资，有利于最大限度发挥闲置资金的作用，提高资金使用效率及投资收益，为公司和股东创造更多的投资回报。</w:t>
      </w:r>
    </w:p>
    <w:p w14:paraId="004201D2" w14:textId="420FF88A" w:rsidR="00B92540" w:rsidRPr="00F253E3" w:rsidRDefault="00D01723" w:rsidP="00DD692D">
      <w:pPr>
        <w:spacing w:line="360" w:lineRule="auto"/>
        <w:ind w:firstLine="482"/>
        <w:rPr>
          <w:rFonts w:hAnsi="宋体"/>
          <w:b/>
          <w:sz w:val="24"/>
        </w:rPr>
      </w:pPr>
      <w:r>
        <w:rPr>
          <w:rFonts w:hAnsi="宋体" w:hint="eastAsia"/>
          <w:b/>
          <w:sz w:val="24"/>
        </w:rPr>
        <w:t>四</w:t>
      </w:r>
      <w:r w:rsidR="00B92540" w:rsidRPr="00F253E3">
        <w:rPr>
          <w:rFonts w:hAnsi="宋体" w:hint="eastAsia"/>
          <w:b/>
          <w:sz w:val="24"/>
        </w:rPr>
        <w:t>、风险分析及风控措施</w:t>
      </w:r>
    </w:p>
    <w:p w14:paraId="3621D923" w14:textId="77777777" w:rsidR="00B92540" w:rsidRPr="00F253E3" w:rsidRDefault="00B92540" w:rsidP="009D774C">
      <w:pPr>
        <w:spacing w:line="360" w:lineRule="auto"/>
        <w:ind w:firstLine="480"/>
        <w:rPr>
          <w:rFonts w:asciiTheme="minorEastAsia" w:eastAsiaTheme="minorEastAsia" w:hAnsiTheme="minorEastAsia"/>
          <w:sz w:val="24"/>
          <w:szCs w:val="24"/>
        </w:rPr>
      </w:pPr>
      <w:r w:rsidRPr="00F253E3">
        <w:rPr>
          <w:rFonts w:asciiTheme="minorEastAsia" w:eastAsiaTheme="minorEastAsia" w:hAnsiTheme="minorEastAsia" w:hint="eastAsia"/>
          <w:sz w:val="24"/>
          <w:szCs w:val="24"/>
        </w:rPr>
        <w:t>1、投资风险</w:t>
      </w:r>
    </w:p>
    <w:p w14:paraId="4B93DD5E" w14:textId="41A41901" w:rsidR="00B92540" w:rsidRPr="00F253E3" w:rsidRDefault="00B92540" w:rsidP="009D774C">
      <w:pPr>
        <w:spacing w:line="360" w:lineRule="auto"/>
        <w:ind w:firstLineChars="200" w:firstLine="480"/>
        <w:rPr>
          <w:rFonts w:asciiTheme="minorEastAsia" w:eastAsiaTheme="minorEastAsia" w:hAnsiTheme="minorEastAsia"/>
          <w:sz w:val="24"/>
          <w:szCs w:val="24"/>
        </w:rPr>
      </w:pPr>
      <w:r w:rsidRPr="00F253E3">
        <w:rPr>
          <w:rFonts w:asciiTheme="minorEastAsia" w:eastAsiaTheme="minorEastAsia" w:hAnsiTheme="minorEastAsia" w:hint="eastAsia"/>
          <w:sz w:val="24"/>
          <w:szCs w:val="24"/>
        </w:rPr>
        <w:t>受宏观经济、投资标的选择、市场环境等因素影响，公司进行证券投资业务面临投资收益不确定性风险、公</w:t>
      </w:r>
      <w:r w:rsidR="005A0B5C" w:rsidRPr="00F253E3">
        <w:rPr>
          <w:rFonts w:asciiTheme="minorEastAsia" w:eastAsiaTheme="minorEastAsia" w:hAnsiTheme="minorEastAsia" w:hint="eastAsia"/>
          <w:sz w:val="24"/>
          <w:szCs w:val="24"/>
        </w:rPr>
        <w:t>允价值变动影响公司损益的风险、操作风险等风险，敬请广大投资者注意</w:t>
      </w:r>
      <w:r w:rsidRPr="00F253E3">
        <w:rPr>
          <w:rFonts w:asciiTheme="minorEastAsia" w:eastAsiaTheme="minorEastAsia" w:hAnsiTheme="minorEastAsia" w:hint="eastAsia"/>
          <w:sz w:val="24"/>
          <w:szCs w:val="24"/>
        </w:rPr>
        <w:t>投资风险。</w:t>
      </w:r>
    </w:p>
    <w:p w14:paraId="02A04E32" w14:textId="77777777" w:rsidR="00B92540" w:rsidRPr="00F253E3" w:rsidRDefault="00B92540" w:rsidP="009D774C">
      <w:pPr>
        <w:spacing w:line="360" w:lineRule="auto"/>
        <w:ind w:firstLine="480"/>
        <w:rPr>
          <w:rFonts w:asciiTheme="minorEastAsia" w:eastAsiaTheme="minorEastAsia" w:hAnsiTheme="minorEastAsia"/>
          <w:sz w:val="24"/>
          <w:szCs w:val="24"/>
        </w:rPr>
      </w:pPr>
      <w:r w:rsidRPr="00F253E3">
        <w:rPr>
          <w:rFonts w:asciiTheme="minorEastAsia" w:eastAsiaTheme="minorEastAsia" w:hAnsiTheme="minorEastAsia" w:hint="eastAsia"/>
          <w:sz w:val="24"/>
          <w:szCs w:val="24"/>
        </w:rPr>
        <w:t>2、</w:t>
      </w:r>
      <w:proofErr w:type="gramStart"/>
      <w:r w:rsidRPr="00F253E3">
        <w:rPr>
          <w:rFonts w:asciiTheme="minorEastAsia" w:eastAsiaTheme="minorEastAsia" w:hAnsiTheme="minorEastAsia" w:hint="eastAsia"/>
          <w:sz w:val="24"/>
          <w:szCs w:val="24"/>
        </w:rPr>
        <w:t>风控措施</w:t>
      </w:r>
      <w:proofErr w:type="gramEnd"/>
    </w:p>
    <w:p w14:paraId="5AE48EFB" w14:textId="77777777" w:rsidR="00B92540" w:rsidRPr="00F253E3" w:rsidRDefault="00B92540" w:rsidP="009D774C">
      <w:pPr>
        <w:spacing w:line="360" w:lineRule="auto"/>
        <w:ind w:firstLine="480"/>
        <w:rPr>
          <w:rFonts w:asciiTheme="minorEastAsia" w:eastAsiaTheme="minorEastAsia" w:hAnsiTheme="minorEastAsia"/>
          <w:sz w:val="24"/>
          <w:szCs w:val="24"/>
        </w:rPr>
      </w:pPr>
      <w:r w:rsidRPr="00F253E3">
        <w:rPr>
          <w:rFonts w:asciiTheme="minorEastAsia" w:eastAsiaTheme="minorEastAsia" w:hAnsiTheme="minorEastAsia" w:hint="eastAsia"/>
          <w:sz w:val="24"/>
          <w:szCs w:val="24"/>
        </w:rPr>
        <w:t>（1）公司依据《中华人民共和国公司法》《上海证券交易所股票上市规则》</w:t>
      </w:r>
      <w:r w:rsidRPr="00F253E3">
        <w:rPr>
          <w:rFonts w:asciiTheme="minorEastAsia" w:eastAsiaTheme="minorEastAsia" w:hAnsiTheme="minorEastAsia" w:hint="eastAsia"/>
          <w:sz w:val="24"/>
          <w:szCs w:val="24"/>
        </w:rPr>
        <w:lastRenderedPageBreak/>
        <w:t>《上海证券交易所上市公司自律监管指引第5号——交易与关联交易》等有关规定，制定了《浙江万盛股份有限公司对外投资管理制度》，对证券投资决策与管理进行了明确规定。公司将严格执行相关制度，履行相关决策程序，并按流程进行操作。投资股票二级市场应以价值低估、未来有良好成长性的绩优股为主要投资对象，采取适当的分散投资策略，控制投资规模，以及对被投资证券的定期投资分析等手段规避、控制投资风险。</w:t>
      </w:r>
    </w:p>
    <w:p w14:paraId="0D4E2395" w14:textId="77777777" w:rsidR="00B92540" w:rsidRPr="00F253E3" w:rsidRDefault="00B92540" w:rsidP="009D774C">
      <w:pPr>
        <w:spacing w:line="360" w:lineRule="auto"/>
        <w:ind w:firstLine="480"/>
        <w:rPr>
          <w:rFonts w:asciiTheme="minorEastAsia" w:eastAsiaTheme="minorEastAsia" w:hAnsiTheme="minorEastAsia"/>
          <w:sz w:val="24"/>
          <w:szCs w:val="24"/>
        </w:rPr>
      </w:pPr>
      <w:r w:rsidRPr="00F253E3">
        <w:rPr>
          <w:rFonts w:asciiTheme="minorEastAsia" w:eastAsiaTheme="minorEastAsia" w:hAnsiTheme="minorEastAsia" w:hint="eastAsia"/>
          <w:sz w:val="24"/>
          <w:szCs w:val="24"/>
        </w:rPr>
        <w:t>（2）公司成立了证券投资决策小组，配备专业证券投资团队，负责证券投资具体操作及日常管理事宜，定期复盘股票资产的投资进度、收益情况及退出安排。</w:t>
      </w:r>
    </w:p>
    <w:p w14:paraId="09B7C0EE" w14:textId="77777777" w:rsidR="00B92540" w:rsidRPr="00F253E3" w:rsidRDefault="00B92540" w:rsidP="009D774C">
      <w:pPr>
        <w:spacing w:line="360" w:lineRule="auto"/>
        <w:ind w:firstLine="480"/>
        <w:rPr>
          <w:rFonts w:asciiTheme="minorEastAsia" w:eastAsiaTheme="minorEastAsia" w:hAnsiTheme="minorEastAsia"/>
          <w:sz w:val="24"/>
          <w:szCs w:val="24"/>
        </w:rPr>
      </w:pPr>
      <w:r w:rsidRPr="00F253E3">
        <w:rPr>
          <w:rFonts w:asciiTheme="minorEastAsia" w:eastAsiaTheme="minorEastAsia" w:hAnsiTheme="minorEastAsia" w:hint="eastAsia"/>
          <w:sz w:val="24"/>
          <w:szCs w:val="24"/>
        </w:rPr>
        <w:t>（3）独立董事、监事会有权对资金使用情况进行监督与检查，必要时可以聘请专业机构进行审计。</w:t>
      </w:r>
    </w:p>
    <w:p w14:paraId="1A698D69" w14:textId="1CCBCBCE" w:rsidR="00EA561A" w:rsidRPr="00D01723" w:rsidRDefault="00D01723" w:rsidP="009D774C">
      <w:pPr>
        <w:pStyle w:val="a6"/>
        <w:adjustRightInd w:val="0"/>
        <w:snapToGrid w:val="0"/>
        <w:spacing w:line="360" w:lineRule="auto"/>
        <w:ind w:firstLineChars="200" w:firstLine="482"/>
        <w:rPr>
          <w:rFonts w:ascii="宋体" w:hAnsi="宋体" w:cs="Arial"/>
          <w:b/>
          <w:sz w:val="24"/>
          <w:szCs w:val="24"/>
        </w:rPr>
      </w:pPr>
      <w:r w:rsidRPr="00D01723">
        <w:rPr>
          <w:rFonts w:ascii="宋体" w:hAnsi="宋体" w:cs="Arial" w:hint="eastAsia"/>
          <w:b/>
          <w:sz w:val="24"/>
          <w:szCs w:val="24"/>
        </w:rPr>
        <w:t>五、</w:t>
      </w:r>
      <w:r w:rsidR="00EA561A" w:rsidRPr="00D01723">
        <w:rPr>
          <w:rFonts w:ascii="宋体" w:hAnsi="宋体" w:cs="Arial" w:hint="eastAsia"/>
          <w:b/>
          <w:sz w:val="24"/>
          <w:szCs w:val="24"/>
        </w:rPr>
        <w:t>独立董事意见</w:t>
      </w:r>
    </w:p>
    <w:p w14:paraId="55393F21" w14:textId="3A34E608" w:rsidR="00B92540" w:rsidRPr="00F253E3" w:rsidRDefault="00B92540" w:rsidP="009D774C">
      <w:pPr>
        <w:pStyle w:val="a6"/>
        <w:adjustRightInd w:val="0"/>
        <w:snapToGrid w:val="0"/>
        <w:spacing w:line="360" w:lineRule="auto"/>
        <w:ind w:firstLineChars="200" w:firstLine="480"/>
        <w:rPr>
          <w:rFonts w:ascii="宋体" w:hAnsi="宋体" w:cs="Arial"/>
          <w:sz w:val="24"/>
          <w:szCs w:val="24"/>
        </w:rPr>
      </w:pPr>
      <w:r w:rsidRPr="00F253E3">
        <w:rPr>
          <w:rFonts w:ascii="宋体" w:hAnsi="宋体" w:cs="Arial" w:hint="eastAsia"/>
          <w:sz w:val="24"/>
          <w:szCs w:val="24"/>
        </w:rPr>
        <w:t>公司在保障资金安全、风险可控、不影响公司主营业务发展的前提下，利用自有资金进行证券投资，有利于提高资金利用效率。本次证券投资事项的表决程序合法合</w:t>
      </w:r>
      <w:proofErr w:type="gramStart"/>
      <w:r w:rsidRPr="00F253E3">
        <w:rPr>
          <w:rFonts w:ascii="宋体" w:hAnsi="宋体" w:cs="Arial" w:hint="eastAsia"/>
          <w:sz w:val="24"/>
          <w:szCs w:val="24"/>
        </w:rPr>
        <w:t>规</w:t>
      </w:r>
      <w:proofErr w:type="gramEnd"/>
      <w:r w:rsidRPr="00F253E3">
        <w:rPr>
          <w:rFonts w:ascii="宋体" w:hAnsi="宋体" w:cs="Arial" w:hint="eastAsia"/>
          <w:sz w:val="24"/>
          <w:szCs w:val="24"/>
        </w:rPr>
        <w:t>，公司制定了《浙江万盛股份有限公司对外投资管理制度》，内控程序健全。</w:t>
      </w:r>
    </w:p>
    <w:p w14:paraId="7F0C3CCB" w14:textId="31F9BFA1" w:rsidR="00341585" w:rsidRPr="00F253E3" w:rsidRDefault="00B92540" w:rsidP="009D774C">
      <w:pPr>
        <w:pStyle w:val="a6"/>
        <w:adjustRightInd w:val="0"/>
        <w:snapToGrid w:val="0"/>
        <w:spacing w:line="360" w:lineRule="auto"/>
        <w:ind w:firstLineChars="200" w:firstLine="480"/>
        <w:rPr>
          <w:rFonts w:asciiTheme="minorEastAsia" w:eastAsiaTheme="minorEastAsia" w:hAnsiTheme="minorEastAsia" w:cs="Arial"/>
          <w:sz w:val="24"/>
          <w:szCs w:val="24"/>
        </w:rPr>
      </w:pPr>
      <w:r w:rsidRPr="00F253E3">
        <w:rPr>
          <w:rFonts w:ascii="宋体" w:hAnsi="宋体" w:cs="Arial" w:hint="eastAsia"/>
          <w:sz w:val="24"/>
          <w:szCs w:val="24"/>
        </w:rPr>
        <w:t>因此，我们同意公司及下属子公司使用自有资金进行证券投资</w:t>
      </w:r>
      <w:r w:rsidR="00341585" w:rsidRPr="00F253E3">
        <w:rPr>
          <w:rFonts w:asciiTheme="minorEastAsia" w:eastAsiaTheme="minorEastAsia" w:hAnsiTheme="minorEastAsia" w:cs="Arial" w:hint="eastAsia"/>
          <w:sz w:val="24"/>
          <w:szCs w:val="24"/>
        </w:rPr>
        <w:t>。</w:t>
      </w:r>
    </w:p>
    <w:p w14:paraId="719666CF" w14:textId="77777777" w:rsidR="00851AE5" w:rsidRPr="00F253E3" w:rsidRDefault="00A21AB9" w:rsidP="009D774C">
      <w:pPr>
        <w:pStyle w:val="a3"/>
        <w:adjustRightInd w:val="0"/>
        <w:snapToGrid w:val="0"/>
        <w:spacing w:before="0" w:beforeAutospacing="0" w:after="0" w:afterAutospacing="0" w:line="360" w:lineRule="auto"/>
        <w:ind w:firstLineChars="200" w:firstLine="480"/>
        <w:rPr>
          <w:rFonts w:asciiTheme="minorEastAsia" w:eastAsiaTheme="minorEastAsia" w:hAnsiTheme="minorEastAsia" w:cs="Arial"/>
        </w:rPr>
      </w:pPr>
      <w:r w:rsidRPr="00F253E3">
        <w:rPr>
          <w:rFonts w:asciiTheme="minorEastAsia" w:eastAsiaTheme="minorEastAsia" w:hAnsiTheme="minorEastAsia" w:cs="Arial" w:hint="eastAsia"/>
        </w:rPr>
        <w:t>特此公告</w:t>
      </w:r>
      <w:r w:rsidR="007C35F5" w:rsidRPr="00F253E3">
        <w:rPr>
          <w:rFonts w:asciiTheme="minorEastAsia" w:eastAsiaTheme="minorEastAsia" w:hAnsiTheme="minorEastAsia" w:cs="Arial" w:hint="eastAsia"/>
        </w:rPr>
        <w:t>。</w:t>
      </w:r>
    </w:p>
    <w:p w14:paraId="17D350ED" w14:textId="7D96293A" w:rsidR="00852465" w:rsidRPr="00F253E3" w:rsidRDefault="00852465" w:rsidP="00851AE5">
      <w:pPr>
        <w:pStyle w:val="a6"/>
        <w:spacing w:line="360" w:lineRule="auto"/>
        <w:ind w:firstLineChars="200" w:firstLine="480"/>
        <w:jc w:val="right"/>
        <w:rPr>
          <w:rFonts w:ascii="宋体" w:hAnsi="宋体"/>
          <w:sz w:val="24"/>
          <w:szCs w:val="24"/>
        </w:rPr>
      </w:pPr>
    </w:p>
    <w:p w14:paraId="04B899F3" w14:textId="77777777" w:rsidR="00B65335" w:rsidRPr="00F253E3" w:rsidRDefault="00B65335" w:rsidP="00851AE5">
      <w:pPr>
        <w:pStyle w:val="a6"/>
        <w:spacing w:line="360" w:lineRule="auto"/>
        <w:ind w:firstLineChars="200" w:firstLine="480"/>
        <w:jc w:val="right"/>
        <w:rPr>
          <w:rFonts w:ascii="宋体" w:hAnsi="宋体"/>
          <w:sz w:val="24"/>
          <w:szCs w:val="24"/>
        </w:rPr>
      </w:pPr>
    </w:p>
    <w:p w14:paraId="31F31533" w14:textId="6B2C26A4" w:rsidR="00851AE5" w:rsidRPr="00F253E3" w:rsidRDefault="00851AE5" w:rsidP="00851AE5">
      <w:pPr>
        <w:pStyle w:val="a6"/>
        <w:spacing w:line="360" w:lineRule="auto"/>
        <w:ind w:firstLineChars="200" w:firstLine="480"/>
        <w:jc w:val="right"/>
        <w:rPr>
          <w:rFonts w:ascii="宋体" w:hAnsi="宋体"/>
          <w:sz w:val="24"/>
          <w:szCs w:val="24"/>
        </w:rPr>
      </w:pPr>
      <w:r w:rsidRPr="00F253E3">
        <w:rPr>
          <w:rFonts w:ascii="宋体" w:hAnsi="宋体" w:hint="eastAsia"/>
          <w:sz w:val="24"/>
          <w:szCs w:val="24"/>
        </w:rPr>
        <w:t>浙江万盛股份有限公司董事会</w:t>
      </w:r>
    </w:p>
    <w:p w14:paraId="5581250F" w14:textId="79EFD837" w:rsidR="00464E02" w:rsidRPr="00D64083" w:rsidRDefault="00851AE5" w:rsidP="00D64083">
      <w:pPr>
        <w:pStyle w:val="a6"/>
        <w:spacing w:line="360" w:lineRule="auto"/>
        <w:ind w:firstLineChars="200" w:firstLine="480"/>
        <w:jc w:val="right"/>
        <w:rPr>
          <w:rFonts w:ascii="宋体" w:hAnsi="宋体"/>
          <w:sz w:val="24"/>
          <w:szCs w:val="24"/>
        </w:rPr>
      </w:pPr>
      <w:r w:rsidRPr="00F253E3">
        <w:rPr>
          <w:rFonts w:ascii="宋体" w:hAnsi="宋体" w:hint="eastAsia"/>
          <w:sz w:val="24"/>
          <w:szCs w:val="24"/>
        </w:rPr>
        <w:t xml:space="preserve">        </w:t>
      </w:r>
      <w:r w:rsidR="004723A5" w:rsidRPr="00F253E3">
        <w:rPr>
          <w:rFonts w:ascii="宋体" w:hAnsi="宋体" w:hint="eastAsia"/>
          <w:sz w:val="24"/>
          <w:szCs w:val="24"/>
        </w:rPr>
        <w:t xml:space="preserve">                             20</w:t>
      </w:r>
      <w:r w:rsidR="004723A5" w:rsidRPr="00F253E3">
        <w:rPr>
          <w:rFonts w:ascii="宋体" w:hAnsi="宋体"/>
          <w:sz w:val="24"/>
          <w:szCs w:val="24"/>
        </w:rPr>
        <w:t>2</w:t>
      </w:r>
      <w:r w:rsidR="00603293" w:rsidRPr="00F253E3">
        <w:rPr>
          <w:rFonts w:ascii="宋体" w:hAnsi="宋体"/>
          <w:sz w:val="24"/>
          <w:szCs w:val="24"/>
        </w:rPr>
        <w:t>3</w:t>
      </w:r>
      <w:r w:rsidRPr="00F253E3">
        <w:rPr>
          <w:rFonts w:ascii="宋体" w:hAnsi="宋体" w:hint="eastAsia"/>
          <w:sz w:val="24"/>
          <w:szCs w:val="24"/>
        </w:rPr>
        <w:t>年</w:t>
      </w:r>
      <w:r w:rsidR="000F101F" w:rsidRPr="00F253E3">
        <w:rPr>
          <w:rFonts w:ascii="宋体" w:hAnsi="宋体"/>
          <w:sz w:val="24"/>
          <w:szCs w:val="24"/>
        </w:rPr>
        <w:t>2</w:t>
      </w:r>
      <w:r w:rsidRPr="00F253E3">
        <w:rPr>
          <w:rFonts w:ascii="宋体" w:hAnsi="宋体" w:hint="eastAsia"/>
          <w:sz w:val="24"/>
          <w:szCs w:val="24"/>
        </w:rPr>
        <w:t>月</w:t>
      </w:r>
      <w:r w:rsidR="00CA5A54" w:rsidRPr="00F253E3">
        <w:rPr>
          <w:rFonts w:ascii="宋体" w:hAnsi="宋体" w:hint="eastAsia"/>
          <w:sz w:val="24"/>
          <w:szCs w:val="24"/>
        </w:rPr>
        <w:t>2</w:t>
      </w:r>
      <w:r w:rsidR="00CA5A54" w:rsidRPr="00F253E3">
        <w:rPr>
          <w:rFonts w:ascii="宋体" w:hAnsi="宋体"/>
          <w:sz w:val="24"/>
          <w:szCs w:val="24"/>
        </w:rPr>
        <w:t>5</w:t>
      </w:r>
      <w:r w:rsidRPr="00F253E3">
        <w:rPr>
          <w:rFonts w:ascii="宋体" w:hAnsi="宋体" w:hint="eastAsia"/>
          <w:sz w:val="24"/>
          <w:szCs w:val="24"/>
        </w:rPr>
        <w:t>日</w:t>
      </w:r>
    </w:p>
    <w:sectPr w:rsidR="00464E02" w:rsidRPr="00D64083" w:rsidSect="00CF6CD3">
      <w:headerReference w:type="default" r:id="rId7"/>
      <w:pgSz w:w="11906" w:h="16838"/>
      <w:pgMar w:top="1134" w:right="1800" w:bottom="1134"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72043" w14:textId="77777777" w:rsidR="0049287C" w:rsidRDefault="0049287C">
      <w:r>
        <w:separator/>
      </w:r>
    </w:p>
  </w:endnote>
  <w:endnote w:type="continuationSeparator" w:id="0">
    <w:p w14:paraId="5115CEA6" w14:textId="77777777" w:rsidR="0049287C" w:rsidRDefault="0049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5A8AA" w14:textId="77777777" w:rsidR="0049287C" w:rsidRDefault="0049287C">
      <w:r>
        <w:separator/>
      </w:r>
    </w:p>
  </w:footnote>
  <w:footnote w:type="continuationSeparator" w:id="0">
    <w:p w14:paraId="1F465824" w14:textId="77777777" w:rsidR="0049287C" w:rsidRDefault="00492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29B5" w14:textId="77777777" w:rsidR="00D83329" w:rsidRDefault="0049287C">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D78AE"/>
    <w:multiLevelType w:val="hybridMultilevel"/>
    <w:tmpl w:val="183877A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32"/>
    <w:rsid w:val="0000314F"/>
    <w:rsid w:val="00015A5C"/>
    <w:rsid w:val="00025F2E"/>
    <w:rsid w:val="000376F3"/>
    <w:rsid w:val="00037802"/>
    <w:rsid w:val="00043570"/>
    <w:rsid w:val="000503B9"/>
    <w:rsid w:val="00050448"/>
    <w:rsid w:val="00050A00"/>
    <w:rsid w:val="00050E12"/>
    <w:rsid w:val="0005445C"/>
    <w:rsid w:val="00065461"/>
    <w:rsid w:val="00077C02"/>
    <w:rsid w:val="00084C7D"/>
    <w:rsid w:val="0009243C"/>
    <w:rsid w:val="000A3DC6"/>
    <w:rsid w:val="000A7F0F"/>
    <w:rsid w:val="000B250B"/>
    <w:rsid w:val="000C5086"/>
    <w:rsid w:val="000C52B9"/>
    <w:rsid w:val="000D05D9"/>
    <w:rsid w:val="000E3C32"/>
    <w:rsid w:val="000E6146"/>
    <w:rsid w:val="000F101F"/>
    <w:rsid w:val="00104D45"/>
    <w:rsid w:val="0010684F"/>
    <w:rsid w:val="0011336A"/>
    <w:rsid w:val="00122350"/>
    <w:rsid w:val="00133FCE"/>
    <w:rsid w:val="0014662A"/>
    <w:rsid w:val="00152A27"/>
    <w:rsid w:val="0016103E"/>
    <w:rsid w:val="00162809"/>
    <w:rsid w:val="001652C6"/>
    <w:rsid w:val="00167458"/>
    <w:rsid w:val="00167BA8"/>
    <w:rsid w:val="00167BCB"/>
    <w:rsid w:val="0017103C"/>
    <w:rsid w:val="00174087"/>
    <w:rsid w:val="00174D73"/>
    <w:rsid w:val="00185BE1"/>
    <w:rsid w:val="00187FCA"/>
    <w:rsid w:val="00191887"/>
    <w:rsid w:val="00191CD4"/>
    <w:rsid w:val="0019348C"/>
    <w:rsid w:val="001938FA"/>
    <w:rsid w:val="001A227C"/>
    <w:rsid w:val="001A395E"/>
    <w:rsid w:val="001D0545"/>
    <w:rsid w:val="001D07E3"/>
    <w:rsid w:val="001D1CA5"/>
    <w:rsid w:val="001E63C9"/>
    <w:rsid w:val="001F17BB"/>
    <w:rsid w:val="00202229"/>
    <w:rsid w:val="00202CC9"/>
    <w:rsid w:val="00203CA5"/>
    <w:rsid w:val="00210A58"/>
    <w:rsid w:val="00210E2F"/>
    <w:rsid w:val="00217EC4"/>
    <w:rsid w:val="00220691"/>
    <w:rsid w:val="00226C46"/>
    <w:rsid w:val="00227E85"/>
    <w:rsid w:val="00242357"/>
    <w:rsid w:val="00250027"/>
    <w:rsid w:val="00250655"/>
    <w:rsid w:val="00250E4F"/>
    <w:rsid w:val="0027429D"/>
    <w:rsid w:val="002762F1"/>
    <w:rsid w:val="00282680"/>
    <w:rsid w:val="0029149F"/>
    <w:rsid w:val="002919B5"/>
    <w:rsid w:val="00292646"/>
    <w:rsid w:val="002956B9"/>
    <w:rsid w:val="002C4F61"/>
    <w:rsid w:val="002D4A44"/>
    <w:rsid w:val="002D4E1B"/>
    <w:rsid w:val="002D5103"/>
    <w:rsid w:val="002E34AD"/>
    <w:rsid w:val="002E5037"/>
    <w:rsid w:val="002E674E"/>
    <w:rsid w:val="002E7674"/>
    <w:rsid w:val="002F5C7C"/>
    <w:rsid w:val="00316506"/>
    <w:rsid w:val="003205E8"/>
    <w:rsid w:val="003251A3"/>
    <w:rsid w:val="00341585"/>
    <w:rsid w:val="00352B41"/>
    <w:rsid w:val="003574F3"/>
    <w:rsid w:val="003660BF"/>
    <w:rsid w:val="0037227B"/>
    <w:rsid w:val="00373794"/>
    <w:rsid w:val="0038374B"/>
    <w:rsid w:val="003A52BC"/>
    <w:rsid w:val="003B23DD"/>
    <w:rsid w:val="003C015E"/>
    <w:rsid w:val="003C5EFF"/>
    <w:rsid w:val="003D0A1E"/>
    <w:rsid w:val="003D731D"/>
    <w:rsid w:val="003E2E88"/>
    <w:rsid w:val="003F6AA5"/>
    <w:rsid w:val="003F6B27"/>
    <w:rsid w:val="00407A17"/>
    <w:rsid w:val="004106DE"/>
    <w:rsid w:val="00417C83"/>
    <w:rsid w:val="00420CC6"/>
    <w:rsid w:val="00435458"/>
    <w:rsid w:val="00436D8B"/>
    <w:rsid w:val="00440DA7"/>
    <w:rsid w:val="00441269"/>
    <w:rsid w:val="00456979"/>
    <w:rsid w:val="004571F5"/>
    <w:rsid w:val="0045737F"/>
    <w:rsid w:val="00464E02"/>
    <w:rsid w:val="004723A5"/>
    <w:rsid w:val="00474E6D"/>
    <w:rsid w:val="00476BA1"/>
    <w:rsid w:val="004866E2"/>
    <w:rsid w:val="00492477"/>
    <w:rsid w:val="0049287C"/>
    <w:rsid w:val="004A2D12"/>
    <w:rsid w:val="004A797B"/>
    <w:rsid w:val="004B3CBE"/>
    <w:rsid w:val="004B4992"/>
    <w:rsid w:val="004B4EBF"/>
    <w:rsid w:val="004D1204"/>
    <w:rsid w:val="004E6F1E"/>
    <w:rsid w:val="004F386A"/>
    <w:rsid w:val="0050768E"/>
    <w:rsid w:val="00510F8B"/>
    <w:rsid w:val="005149D3"/>
    <w:rsid w:val="00541B7C"/>
    <w:rsid w:val="00550DC0"/>
    <w:rsid w:val="00555D25"/>
    <w:rsid w:val="00564232"/>
    <w:rsid w:val="00567E2F"/>
    <w:rsid w:val="005759B4"/>
    <w:rsid w:val="00577014"/>
    <w:rsid w:val="00596DD1"/>
    <w:rsid w:val="005A0B5C"/>
    <w:rsid w:val="005A498B"/>
    <w:rsid w:val="005B4308"/>
    <w:rsid w:val="005C1E8B"/>
    <w:rsid w:val="005C5346"/>
    <w:rsid w:val="005C7279"/>
    <w:rsid w:val="005D1F47"/>
    <w:rsid w:val="005E0B82"/>
    <w:rsid w:val="005E3BF8"/>
    <w:rsid w:val="005F0F52"/>
    <w:rsid w:val="005F4DED"/>
    <w:rsid w:val="005F5189"/>
    <w:rsid w:val="00603293"/>
    <w:rsid w:val="00607A3A"/>
    <w:rsid w:val="00610E32"/>
    <w:rsid w:val="00615D91"/>
    <w:rsid w:val="00620C38"/>
    <w:rsid w:val="00625AF1"/>
    <w:rsid w:val="0063029B"/>
    <w:rsid w:val="00630FA5"/>
    <w:rsid w:val="0063621A"/>
    <w:rsid w:val="00647CB4"/>
    <w:rsid w:val="006531DE"/>
    <w:rsid w:val="00666B23"/>
    <w:rsid w:val="00674001"/>
    <w:rsid w:val="00674224"/>
    <w:rsid w:val="0067703D"/>
    <w:rsid w:val="006812C4"/>
    <w:rsid w:val="00682491"/>
    <w:rsid w:val="00687BE4"/>
    <w:rsid w:val="0069398E"/>
    <w:rsid w:val="00695AD3"/>
    <w:rsid w:val="00697CF4"/>
    <w:rsid w:val="006D7F62"/>
    <w:rsid w:val="006E3259"/>
    <w:rsid w:val="006F6B56"/>
    <w:rsid w:val="006F6D1B"/>
    <w:rsid w:val="00712681"/>
    <w:rsid w:val="0071786D"/>
    <w:rsid w:val="00720A8A"/>
    <w:rsid w:val="007215FE"/>
    <w:rsid w:val="00737A20"/>
    <w:rsid w:val="00740DFB"/>
    <w:rsid w:val="0074278A"/>
    <w:rsid w:val="0074315A"/>
    <w:rsid w:val="00744EB0"/>
    <w:rsid w:val="007471B3"/>
    <w:rsid w:val="0075183C"/>
    <w:rsid w:val="007668D7"/>
    <w:rsid w:val="00781C23"/>
    <w:rsid w:val="00782A7E"/>
    <w:rsid w:val="0079726F"/>
    <w:rsid w:val="0079789A"/>
    <w:rsid w:val="007C35F5"/>
    <w:rsid w:val="007C66A9"/>
    <w:rsid w:val="007D2A5C"/>
    <w:rsid w:val="007D4E0E"/>
    <w:rsid w:val="007E375B"/>
    <w:rsid w:val="007F247F"/>
    <w:rsid w:val="007F255B"/>
    <w:rsid w:val="007F5661"/>
    <w:rsid w:val="0080064A"/>
    <w:rsid w:val="008019C9"/>
    <w:rsid w:val="008031B5"/>
    <w:rsid w:val="00810191"/>
    <w:rsid w:val="00815571"/>
    <w:rsid w:val="00816070"/>
    <w:rsid w:val="00823CD0"/>
    <w:rsid w:val="00831D9F"/>
    <w:rsid w:val="008424D8"/>
    <w:rsid w:val="00851AE5"/>
    <w:rsid w:val="00852465"/>
    <w:rsid w:val="00872133"/>
    <w:rsid w:val="008762FB"/>
    <w:rsid w:val="00884346"/>
    <w:rsid w:val="00891D84"/>
    <w:rsid w:val="008A12A9"/>
    <w:rsid w:val="008B70DD"/>
    <w:rsid w:val="008B7582"/>
    <w:rsid w:val="008D5F84"/>
    <w:rsid w:val="008F1205"/>
    <w:rsid w:val="008F2556"/>
    <w:rsid w:val="008F5AEC"/>
    <w:rsid w:val="009140FB"/>
    <w:rsid w:val="00914744"/>
    <w:rsid w:val="00914DE1"/>
    <w:rsid w:val="00916955"/>
    <w:rsid w:val="0091759E"/>
    <w:rsid w:val="00941FA2"/>
    <w:rsid w:val="00944011"/>
    <w:rsid w:val="00944AEE"/>
    <w:rsid w:val="009528FA"/>
    <w:rsid w:val="00956CAE"/>
    <w:rsid w:val="00970830"/>
    <w:rsid w:val="00984075"/>
    <w:rsid w:val="00986D9C"/>
    <w:rsid w:val="00993191"/>
    <w:rsid w:val="00996FED"/>
    <w:rsid w:val="009A1F4D"/>
    <w:rsid w:val="009A2500"/>
    <w:rsid w:val="009A4BAF"/>
    <w:rsid w:val="009B112A"/>
    <w:rsid w:val="009D1E79"/>
    <w:rsid w:val="009D774C"/>
    <w:rsid w:val="009F30F7"/>
    <w:rsid w:val="009F3A23"/>
    <w:rsid w:val="009F4C3A"/>
    <w:rsid w:val="00A01C0B"/>
    <w:rsid w:val="00A03602"/>
    <w:rsid w:val="00A129B9"/>
    <w:rsid w:val="00A21AB9"/>
    <w:rsid w:val="00A33B68"/>
    <w:rsid w:val="00A44E82"/>
    <w:rsid w:val="00A47EF8"/>
    <w:rsid w:val="00A5004D"/>
    <w:rsid w:val="00A541EC"/>
    <w:rsid w:val="00A60FBC"/>
    <w:rsid w:val="00A66A17"/>
    <w:rsid w:val="00A7602F"/>
    <w:rsid w:val="00A82093"/>
    <w:rsid w:val="00A85FC1"/>
    <w:rsid w:val="00A8691C"/>
    <w:rsid w:val="00A8701D"/>
    <w:rsid w:val="00A944FB"/>
    <w:rsid w:val="00AA112C"/>
    <w:rsid w:val="00AA30CC"/>
    <w:rsid w:val="00AA4828"/>
    <w:rsid w:val="00AD524A"/>
    <w:rsid w:val="00AD5D17"/>
    <w:rsid w:val="00AE5E01"/>
    <w:rsid w:val="00AF0658"/>
    <w:rsid w:val="00B001A0"/>
    <w:rsid w:val="00B0034B"/>
    <w:rsid w:val="00B10B2A"/>
    <w:rsid w:val="00B125E5"/>
    <w:rsid w:val="00B205CD"/>
    <w:rsid w:val="00B22E1E"/>
    <w:rsid w:val="00B4726C"/>
    <w:rsid w:val="00B50A91"/>
    <w:rsid w:val="00B54C8C"/>
    <w:rsid w:val="00B55740"/>
    <w:rsid w:val="00B56A43"/>
    <w:rsid w:val="00B57746"/>
    <w:rsid w:val="00B65335"/>
    <w:rsid w:val="00B66B91"/>
    <w:rsid w:val="00B92540"/>
    <w:rsid w:val="00BB0823"/>
    <w:rsid w:val="00BD50E4"/>
    <w:rsid w:val="00BE0D96"/>
    <w:rsid w:val="00BE4DD9"/>
    <w:rsid w:val="00BE5A1B"/>
    <w:rsid w:val="00BE5D98"/>
    <w:rsid w:val="00BF646B"/>
    <w:rsid w:val="00BF6B63"/>
    <w:rsid w:val="00C25690"/>
    <w:rsid w:val="00C26E8B"/>
    <w:rsid w:val="00C2717B"/>
    <w:rsid w:val="00C27E05"/>
    <w:rsid w:val="00C31347"/>
    <w:rsid w:val="00C32F4C"/>
    <w:rsid w:val="00C41CDB"/>
    <w:rsid w:val="00C46B0C"/>
    <w:rsid w:val="00C61987"/>
    <w:rsid w:val="00C84D58"/>
    <w:rsid w:val="00C86F8C"/>
    <w:rsid w:val="00C97405"/>
    <w:rsid w:val="00C976B5"/>
    <w:rsid w:val="00CA24EE"/>
    <w:rsid w:val="00CA5A54"/>
    <w:rsid w:val="00CB4477"/>
    <w:rsid w:val="00CD5618"/>
    <w:rsid w:val="00CE1392"/>
    <w:rsid w:val="00CE1E26"/>
    <w:rsid w:val="00CE6B90"/>
    <w:rsid w:val="00CE6BDD"/>
    <w:rsid w:val="00CE6E79"/>
    <w:rsid w:val="00CF04FC"/>
    <w:rsid w:val="00CF1140"/>
    <w:rsid w:val="00CF4015"/>
    <w:rsid w:val="00CF6CD3"/>
    <w:rsid w:val="00D00D63"/>
    <w:rsid w:val="00D01723"/>
    <w:rsid w:val="00D263FD"/>
    <w:rsid w:val="00D37AA8"/>
    <w:rsid w:val="00D42FCA"/>
    <w:rsid w:val="00D46098"/>
    <w:rsid w:val="00D64083"/>
    <w:rsid w:val="00D66AB6"/>
    <w:rsid w:val="00D800DB"/>
    <w:rsid w:val="00D814BB"/>
    <w:rsid w:val="00D91DF5"/>
    <w:rsid w:val="00DA6837"/>
    <w:rsid w:val="00DB2608"/>
    <w:rsid w:val="00DB64B5"/>
    <w:rsid w:val="00DC0321"/>
    <w:rsid w:val="00DC3570"/>
    <w:rsid w:val="00DD03F5"/>
    <w:rsid w:val="00DD1E89"/>
    <w:rsid w:val="00DD21EA"/>
    <w:rsid w:val="00DD3712"/>
    <w:rsid w:val="00DD567F"/>
    <w:rsid w:val="00DD5773"/>
    <w:rsid w:val="00DD692D"/>
    <w:rsid w:val="00DE0BAD"/>
    <w:rsid w:val="00DF72E8"/>
    <w:rsid w:val="00E06A3D"/>
    <w:rsid w:val="00E14925"/>
    <w:rsid w:val="00E2253D"/>
    <w:rsid w:val="00E2281C"/>
    <w:rsid w:val="00E31147"/>
    <w:rsid w:val="00E422BC"/>
    <w:rsid w:val="00E45050"/>
    <w:rsid w:val="00E62017"/>
    <w:rsid w:val="00E627E8"/>
    <w:rsid w:val="00E63213"/>
    <w:rsid w:val="00E735ED"/>
    <w:rsid w:val="00E84548"/>
    <w:rsid w:val="00E91306"/>
    <w:rsid w:val="00E9187F"/>
    <w:rsid w:val="00E92D40"/>
    <w:rsid w:val="00EA16D7"/>
    <w:rsid w:val="00EA4960"/>
    <w:rsid w:val="00EA561A"/>
    <w:rsid w:val="00ED3D93"/>
    <w:rsid w:val="00EE10CB"/>
    <w:rsid w:val="00EE4F3C"/>
    <w:rsid w:val="00EE6D30"/>
    <w:rsid w:val="00EE6F91"/>
    <w:rsid w:val="00EE78D1"/>
    <w:rsid w:val="00EF15D7"/>
    <w:rsid w:val="00EF2EF9"/>
    <w:rsid w:val="00EF4453"/>
    <w:rsid w:val="00EF48B3"/>
    <w:rsid w:val="00F253E3"/>
    <w:rsid w:val="00F32155"/>
    <w:rsid w:val="00F46462"/>
    <w:rsid w:val="00F47A80"/>
    <w:rsid w:val="00F7331F"/>
    <w:rsid w:val="00F74D31"/>
    <w:rsid w:val="00F8667E"/>
    <w:rsid w:val="00F91584"/>
    <w:rsid w:val="00F9559D"/>
    <w:rsid w:val="00FC7F52"/>
    <w:rsid w:val="00FE044D"/>
    <w:rsid w:val="00FE5F91"/>
    <w:rsid w:val="00FF23FD"/>
    <w:rsid w:val="00FF2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789FD"/>
  <w15:chartTrackingRefBased/>
  <w15:docId w15:val="{C5DE8A3E-B651-4A86-BBF6-77BFAD1E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AE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51AE5"/>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rsid w:val="00851AE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5">
    <w:name w:val="页眉 字符"/>
    <w:basedOn w:val="a0"/>
    <w:link w:val="a4"/>
    <w:rsid w:val="00851AE5"/>
    <w:rPr>
      <w:rFonts w:ascii="Times New Roman" w:eastAsia="宋体" w:hAnsi="Times New Roman" w:cs="Times New Roman"/>
      <w:sz w:val="18"/>
      <w:szCs w:val="20"/>
    </w:rPr>
  </w:style>
  <w:style w:type="paragraph" w:styleId="a6">
    <w:name w:val="No Spacing"/>
    <w:uiPriority w:val="1"/>
    <w:qFormat/>
    <w:rsid w:val="00851AE5"/>
    <w:pPr>
      <w:widowControl w:val="0"/>
      <w:jc w:val="both"/>
    </w:pPr>
    <w:rPr>
      <w:rFonts w:ascii="Times New Roman" w:eastAsia="宋体" w:hAnsi="Times New Roman" w:cs="Times New Roman"/>
      <w:szCs w:val="20"/>
    </w:rPr>
  </w:style>
  <w:style w:type="paragraph" w:customStyle="1" w:styleId="1">
    <w:name w:val="无间隔1"/>
    <w:uiPriority w:val="1"/>
    <w:qFormat/>
    <w:rsid w:val="00851AE5"/>
    <w:pPr>
      <w:adjustRightInd w:val="0"/>
      <w:snapToGrid w:val="0"/>
    </w:pPr>
    <w:rPr>
      <w:rFonts w:ascii="Tahoma" w:eastAsia="微软雅黑" w:hAnsi="Tahoma" w:cs="Times New Roman"/>
      <w:kern w:val="0"/>
      <w:sz w:val="22"/>
    </w:rPr>
  </w:style>
  <w:style w:type="character" w:customStyle="1" w:styleId="a7">
    <w:name w:val="标题 字符"/>
    <w:link w:val="a8"/>
    <w:locked/>
    <w:rsid w:val="00956CAE"/>
    <w:rPr>
      <w:rFonts w:ascii="Cambria" w:eastAsia="宋体" w:hAnsi="Cambria"/>
      <w:b/>
      <w:bCs/>
      <w:sz w:val="32"/>
      <w:szCs w:val="32"/>
    </w:rPr>
  </w:style>
  <w:style w:type="paragraph" w:styleId="a8">
    <w:name w:val="Title"/>
    <w:basedOn w:val="a"/>
    <w:next w:val="a"/>
    <w:link w:val="a7"/>
    <w:qFormat/>
    <w:rsid w:val="00956CAE"/>
    <w:pPr>
      <w:spacing w:before="240" w:after="60"/>
      <w:jc w:val="center"/>
      <w:outlineLvl w:val="0"/>
    </w:pPr>
    <w:rPr>
      <w:rFonts w:ascii="Cambria" w:hAnsi="Cambria" w:cstheme="minorBidi"/>
      <w:b/>
      <w:bCs/>
      <w:sz w:val="32"/>
      <w:szCs w:val="32"/>
    </w:rPr>
  </w:style>
  <w:style w:type="character" w:customStyle="1" w:styleId="Char1">
    <w:name w:val="标题 Char1"/>
    <w:basedOn w:val="a0"/>
    <w:uiPriority w:val="10"/>
    <w:rsid w:val="00956CAE"/>
    <w:rPr>
      <w:rFonts w:asciiTheme="majorHAnsi" w:eastAsia="宋体" w:hAnsiTheme="majorHAnsi" w:cstheme="majorBidi"/>
      <w:b/>
      <w:bCs/>
      <w:sz w:val="32"/>
      <w:szCs w:val="32"/>
    </w:rPr>
  </w:style>
  <w:style w:type="paragraph" w:styleId="a9">
    <w:name w:val="footer"/>
    <w:basedOn w:val="a"/>
    <w:link w:val="aa"/>
    <w:unhideWhenUsed/>
    <w:rsid w:val="00A47EF8"/>
    <w:pPr>
      <w:tabs>
        <w:tab w:val="center" w:pos="4153"/>
        <w:tab w:val="right" w:pos="8306"/>
      </w:tabs>
      <w:snapToGrid w:val="0"/>
      <w:jc w:val="left"/>
    </w:pPr>
    <w:rPr>
      <w:sz w:val="18"/>
      <w:szCs w:val="18"/>
    </w:rPr>
  </w:style>
  <w:style w:type="character" w:customStyle="1" w:styleId="aa">
    <w:name w:val="页脚 字符"/>
    <w:basedOn w:val="a0"/>
    <w:link w:val="a9"/>
    <w:uiPriority w:val="99"/>
    <w:rsid w:val="00A47EF8"/>
    <w:rPr>
      <w:rFonts w:ascii="Times New Roman" w:eastAsia="宋体" w:hAnsi="Times New Roman" w:cs="Times New Roman"/>
      <w:sz w:val="18"/>
      <w:szCs w:val="18"/>
    </w:rPr>
  </w:style>
  <w:style w:type="paragraph" w:styleId="ab">
    <w:name w:val="Balloon Text"/>
    <w:basedOn w:val="a"/>
    <w:link w:val="ac"/>
    <w:uiPriority w:val="99"/>
    <w:semiHidden/>
    <w:unhideWhenUsed/>
    <w:rsid w:val="00FE044D"/>
    <w:rPr>
      <w:sz w:val="18"/>
      <w:szCs w:val="18"/>
    </w:rPr>
  </w:style>
  <w:style w:type="character" w:customStyle="1" w:styleId="ac">
    <w:name w:val="批注框文本 字符"/>
    <w:basedOn w:val="a0"/>
    <w:link w:val="ab"/>
    <w:uiPriority w:val="99"/>
    <w:semiHidden/>
    <w:rsid w:val="00FE044D"/>
    <w:rPr>
      <w:rFonts w:ascii="Times New Roman" w:eastAsia="宋体" w:hAnsi="Times New Roman" w:cs="Times New Roman"/>
      <w:sz w:val="18"/>
      <w:szCs w:val="18"/>
    </w:rPr>
  </w:style>
  <w:style w:type="paragraph" w:styleId="ad">
    <w:name w:val="List Paragraph"/>
    <w:basedOn w:val="a"/>
    <w:uiPriority w:val="34"/>
    <w:qFormat/>
    <w:rsid w:val="0011336A"/>
    <w:pPr>
      <w:ind w:firstLineChars="200" w:firstLine="420"/>
    </w:pPr>
  </w:style>
  <w:style w:type="paragraph" w:customStyle="1" w:styleId="Default">
    <w:name w:val="Default"/>
    <w:rsid w:val="003F6B27"/>
    <w:pPr>
      <w:widowControl w:val="0"/>
      <w:autoSpaceDE w:val="0"/>
      <w:autoSpaceDN w:val="0"/>
      <w:adjustRightInd w:val="0"/>
    </w:pPr>
    <w:rPr>
      <w:rFonts w:ascii="宋体" w:eastAsia="宋体" w:cs="宋体"/>
      <w:color w:val="000000"/>
      <w:kern w:val="0"/>
      <w:sz w:val="24"/>
      <w:szCs w:val="24"/>
    </w:rPr>
  </w:style>
  <w:style w:type="character" w:styleId="ae">
    <w:name w:val="annotation reference"/>
    <w:basedOn w:val="a0"/>
    <w:uiPriority w:val="99"/>
    <w:semiHidden/>
    <w:unhideWhenUsed/>
    <w:rsid w:val="0074278A"/>
    <w:rPr>
      <w:sz w:val="21"/>
      <w:szCs w:val="21"/>
    </w:rPr>
  </w:style>
  <w:style w:type="paragraph" w:styleId="af">
    <w:name w:val="annotation text"/>
    <w:basedOn w:val="a"/>
    <w:link w:val="af0"/>
    <w:uiPriority w:val="99"/>
    <w:semiHidden/>
    <w:unhideWhenUsed/>
    <w:rsid w:val="0074278A"/>
    <w:pPr>
      <w:jc w:val="left"/>
    </w:pPr>
  </w:style>
  <w:style w:type="character" w:customStyle="1" w:styleId="af0">
    <w:name w:val="批注文字 字符"/>
    <w:basedOn w:val="a0"/>
    <w:link w:val="af"/>
    <w:uiPriority w:val="99"/>
    <w:semiHidden/>
    <w:rsid w:val="0074278A"/>
    <w:rPr>
      <w:rFonts w:ascii="Times New Roman" w:eastAsia="宋体" w:hAnsi="Times New Roman" w:cs="Times New Roman"/>
      <w:szCs w:val="20"/>
    </w:rPr>
  </w:style>
  <w:style w:type="paragraph" w:styleId="af1">
    <w:name w:val="annotation subject"/>
    <w:basedOn w:val="af"/>
    <w:next w:val="af"/>
    <w:link w:val="af2"/>
    <w:uiPriority w:val="99"/>
    <w:semiHidden/>
    <w:unhideWhenUsed/>
    <w:rsid w:val="0074278A"/>
    <w:rPr>
      <w:b/>
      <w:bCs/>
    </w:rPr>
  </w:style>
  <w:style w:type="character" w:customStyle="1" w:styleId="af2">
    <w:name w:val="批注主题 字符"/>
    <w:basedOn w:val="af0"/>
    <w:link w:val="af1"/>
    <w:uiPriority w:val="99"/>
    <w:semiHidden/>
    <w:rsid w:val="0074278A"/>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879854">
      <w:bodyDiv w:val="1"/>
      <w:marLeft w:val="0"/>
      <w:marRight w:val="0"/>
      <w:marTop w:val="0"/>
      <w:marBottom w:val="0"/>
      <w:divBdr>
        <w:top w:val="none" w:sz="0" w:space="0" w:color="auto"/>
        <w:left w:val="none" w:sz="0" w:space="0" w:color="auto"/>
        <w:bottom w:val="none" w:sz="0" w:space="0" w:color="auto"/>
        <w:right w:val="none" w:sz="0" w:space="0" w:color="auto"/>
      </w:divBdr>
      <w:divsChild>
        <w:div w:id="1949196217">
          <w:marLeft w:val="0"/>
          <w:marRight w:val="0"/>
          <w:marTop w:val="0"/>
          <w:marBottom w:val="0"/>
          <w:divBdr>
            <w:top w:val="none" w:sz="0" w:space="0" w:color="auto"/>
            <w:left w:val="none" w:sz="0" w:space="0" w:color="auto"/>
            <w:bottom w:val="none" w:sz="0" w:space="0" w:color="auto"/>
            <w:right w:val="none" w:sz="0" w:space="0" w:color="auto"/>
          </w:divBdr>
        </w:div>
        <w:div w:id="1433625745">
          <w:marLeft w:val="0"/>
          <w:marRight w:val="0"/>
          <w:marTop w:val="0"/>
          <w:marBottom w:val="0"/>
          <w:divBdr>
            <w:top w:val="none" w:sz="0" w:space="0" w:color="auto"/>
            <w:left w:val="none" w:sz="0" w:space="0" w:color="auto"/>
            <w:bottom w:val="none" w:sz="0" w:space="0" w:color="auto"/>
            <w:right w:val="none" w:sz="0" w:space="0" w:color="auto"/>
          </w:divBdr>
        </w:div>
        <w:div w:id="1173570099">
          <w:marLeft w:val="0"/>
          <w:marRight w:val="0"/>
          <w:marTop w:val="0"/>
          <w:marBottom w:val="0"/>
          <w:divBdr>
            <w:top w:val="none" w:sz="0" w:space="0" w:color="auto"/>
            <w:left w:val="none" w:sz="0" w:space="0" w:color="auto"/>
            <w:bottom w:val="none" w:sz="0" w:space="0" w:color="auto"/>
            <w:right w:val="none" w:sz="0" w:space="0" w:color="auto"/>
          </w:divBdr>
        </w:div>
      </w:divsChild>
    </w:div>
    <w:div w:id="1641230353">
      <w:bodyDiv w:val="1"/>
      <w:marLeft w:val="0"/>
      <w:marRight w:val="0"/>
      <w:marTop w:val="0"/>
      <w:marBottom w:val="0"/>
      <w:divBdr>
        <w:top w:val="none" w:sz="0" w:space="0" w:color="auto"/>
        <w:left w:val="none" w:sz="0" w:space="0" w:color="auto"/>
        <w:bottom w:val="none" w:sz="0" w:space="0" w:color="auto"/>
        <w:right w:val="none" w:sz="0" w:space="0" w:color="auto"/>
      </w:divBdr>
      <w:divsChild>
        <w:div w:id="1004280351">
          <w:marLeft w:val="0"/>
          <w:marRight w:val="0"/>
          <w:marTop w:val="0"/>
          <w:marBottom w:val="0"/>
          <w:divBdr>
            <w:top w:val="none" w:sz="0" w:space="0" w:color="auto"/>
            <w:left w:val="none" w:sz="0" w:space="0" w:color="auto"/>
            <w:bottom w:val="none" w:sz="0" w:space="0" w:color="auto"/>
            <w:right w:val="none" w:sz="0" w:space="0" w:color="auto"/>
          </w:divBdr>
        </w:div>
        <w:div w:id="763111880">
          <w:marLeft w:val="0"/>
          <w:marRight w:val="0"/>
          <w:marTop w:val="0"/>
          <w:marBottom w:val="0"/>
          <w:divBdr>
            <w:top w:val="none" w:sz="0" w:space="0" w:color="auto"/>
            <w:left w:val="none" w:sz="0" w:space="0" w:color="auto"/>
            <w:bottom w:val="none" w:sz="0" w:space="0" w:color="auto"/>
            <w:right w:val="none" w:sz="0" w:space="0" w:color="auto"/>
          </w:divBdr>
        </w:div>
        <w:div w:id="1846555354">
          <w:marLeft w:val="0"/>
          <w:marRight w:val="0"/>
          <w:marTop w:val="0"/>
          <w:marBottom w:val="0"/>
          <w:divBdr>
            <w:top w:val="none" w:sz="0" w:space="0" w:color="auto"/>
            <w:left w:val="none" w:sz="0" w:space="0" w:color="auto"/>
            <w:bottom w:val="none" w:sz="0" w:space="0" w:color="auto"/>
            <w:right w:val="none" w:sz="0" w:space="0" w:color="auto"/>
          </w:divBdr>
        </w:div>
        <w:div w:id="204474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296</Words>
  <Characters>1690</Characters>
  <Application>Microsoft Office Word</Application>
  <DocSecurity>0</DocSecurity>
  <Lines>14</Lines>
  <Paragraphs>3</Paragraphs>
  <ScaleCrop>false</ScaleCrop>
  <Company>Microsoft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lt</cp:lastModifiedBy>
  <cp:revision>136</cp:revision>
  <cp:lastPrinted>2021-02-24T06:28:00Z</cp:lastPrinted>
  <dcterms:created xsi:type="dcterms:W3CDTF">2021-02-25T16:39:00Z</dcterms:created>
  <dcterms:modified xsi:type="dcterms:W3CDTF">2023-02-24T08:58:00Z</dcterms:modified>
</cp:coreProperties>
</file>